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CA9F" w14:textId="3A479B92" w:rsidR="00453342" w:rsidRDefault="00A64F7F" w:rsidP="00453342">
      <w:pPr>
        <w:jc w:val="center"/>
        <w:rPr>
          <w:rFonts w:ascii="Times New Roman" w:hAnsi="Times New Roman" w:cs="Times New Roman"/>
          <w:sz w:val="24"/>
          <w:szCs w:val="24"/>
        </w:rPr>
      </w:pPr>
      <w:r>
        <w:rPr>
          <w:rFonts w:ascii="Bookman Old Style" w:hAnsi="Bookman Old Style"/>
          <w:b/>
          <w:sz w:val="24"/>
        </w:rPr>
        <w:t xml:space="preserve"> </w:t>
      </w:r>
      <w:r w:rsidR="00453342">
        <w:rPr>
          <w:rFonts w:ascii="Calibri" w:eastAsia="Times New Roman" w:hAnsi="Calibri" w:cs="Segoe UI"/>
          <w:noProof/>
          <w:color w:val="000000"/>
          <w:lang w:val="en-ZA" w:eastAsia="en-ZA"/>
        </w:rPr>
        <w:drawing>
          <wp:inline distT="0" distB="0" distL="0" distR="0" wp14:anchorId="28DDAA08" wp14:editId="2B326C91">
            <wp:extent cx="657860" cy="826770"/>
            <wp:effectExtent l="0" t="0" r="8890" b="0"/>
            <wp:docPr id="3" name="Picture 3" descr="SADC PF Logo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C PF Logo - Small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860" cy="826770"/>
                    </a:xfrm>
                    <a:prstGeom prst="rect">
                      <a:avLst/>
                    </a:prstGeom>
                    <a:noFill/>
                    <a:ln>
                      <a:noFill/>
                    </a:ln>
                  </pic:spPr>
                </pic:pic>
              </a:graphicData>
            </a:graphic>
          </wp:inline>
        </w:drawing>
      </w:r>
    </w:p>
    <w:p w14:paraId="16FA2E2D" w14:textId="77777777" w:rsidR="00453342" w:rsidRPr="000F564E" w:rsidRDefault="00453342" w:rsidP="000F564E">
      <w:pPr>
        <w:spacing w:after="0" w:line="360" w:lineRule="auto"/>
        <w:jc w:val="center"/>
        <w:rPr>
          <w:rFonts w:ascii="Bookman Old Style" w:hAnsi="Bookman Old Style" w:cs="Times New Roman"/>
          <w:b/>
          <w:bCs/>
          <w:sz w:val="24"/>
          <w:szCs w:val="24"/>
        </w:rPr>
      </w:pPr>
      <w:r w:rsidRPr="000F564E">
        <w:rPr>
          <w:rFonts w:ascii="Bookman Old Style" w:hAnsi="Bookman Old Style" w:cs="Times New Roman"/>
          <w:b/>
          <w:bCs/>
          <w:sz w:val="24"/>
          <w:szCs w:val="24"/>
        </w:rPr>
        <w:t>52</w:t>
      </w:r>
      <w:r w:rsidRPr="000F564E">
        <w:rPr>
          <w:rFonts w:ascii="Bookman Old Style" w:hAnsi="Bookman Old Style" w:cs="Times New Roman"/>
          <w:b/>
          <w:bCs/>
          <w:sz w:val="24"/>
          <w:szCs w:val="24"/>
          <w:vertAlign w:val="superscript"/>
        </w:rPr>
        <w:t>ÈME</w:t>
      </w:r>
      <w:r w:rsidRPr="000F564E">
        <w:rPr>
          <w:rFonts w:ascii="Bookman Old Style" w:hAnsi="Bookman Old Style" w:cs="Times New Roman"/>
          <w:b/>
          <w:bCs/>
          <w:sz w:val="24"/>
          <w:szCs w:val="24"/>
        </w:rPr>
        <w:t xml:space="preserve"> ASSEMBLÉE PLÉNIÈRE</w:t>
      </w:r>
    </w:p>
    <w:p w14:paraId="16CA23DB" w14:textId="77777777" w:rsidR="00453342" w:rsidRPr="000F564E" w:rsidRDefault="00453342" w:rsidP="000F564E">
      <w:pPr>
        <w:spacing w:after="0" w:line="360" w:lineRule="auto"/>
        <w:jc w:val="center"/>
        <w:rPr>
          <w:rFonts w:ascii="Bookman Old Style" w:hAnsi="Bookman Old Style" w:cs="Times New Roman"/>
          <w:b/>
          <w:bCs/>
          <w:sz w:val="24"/>
          <w:szCs w:val="24"/>
        </w:rPr>
      </w:pPr>
      <w:r w:rsidRPr="000F564E">
        <w:rPr>
          <w:rFonts w:ascii="Bookman Old Style" w:hAnsi="Bookman Old Style" w:cs="Times New Roman"/>
          <w:b/>
          <w:bCs/>
          <w:sz w:val="24"/>
          <w:szCs w:val="24"/>
        </w:rPr>
        <w:t>DU 1</w:t>
      </w:r>
      <w:r w:rsidRPr="000F564E">
        <w:rPr>
          <w:rFonts w:ascii="Bookman Old Style" w:hAnsi="Bookman Old Style" w:cs="Times New Roman"/>
          <w:b/>
          <w:bCs/>
          <w:sz w:val="24"/>
          <w:szCs w:val="24"/>
          <w:vertAlign w:val="superscript"/>
        </w:rPr>
        <w:t>ER</w:t>
      </w:r>
      <w:r w:rsidRPr="000F564E">
        <w:rPr>
          <w:rFonts w:ascii="Bookman Old Style" w:hAnsi="Bookman Old Style" w:cs="Times New Roman"/>
          <w:b/>
          <w:bCs/>
          <w:sz w:val="24"/>
          <w:szCs w:val="24"/>
        </w:rPr>
        <w:t xml:space="preserve"> AU 11 DECEMBRE 2022</w:t>
      </w:r>
    </w:p>
    <w:p w14:paraId="63CE422D" w14:textId="77777777" w:rsidR="00453342" w:rsidRPr="000F564E" w:rsidRDefault="00453342" w:rsidP="000F564E">
      <w:pPr>
        <w:spacing w:after="0" w:line="360" w:lineRule="auto"/>
        <w:jc w:val="center"/>
        <w:rPr>
          <w:rFonts w:ascii="Bookman Old Style" w:hAnsi="Bookman Old Style" w:cs="Times New Roman"/>
          <w:b/>
          <w:bCs/>
          <w:sz w:val="24"/>
          <w:szCs w:val="24"/>
        </w:rPr>
      </w:pPr>
      <w:r w:rsidRPr="000F564E">
        <w:rPr>
          <w:rFonts w:ascii="Bookman Old Style" w:hAnsi="Bookman Old Style" w:cs="Times New Roman"/>
          <w:b/>
          <w:bCs/>
          <w:sz w:val="24"/>
          <w:szCs w:val="24"/>
        </w:rPr>
        <w:t>KINSHASA, RÉPUBLIQUE DÉMOCRATIQUE DU CONGO</w:t>
      </w:r>
    </w:p>
    <w:p w14:paraId="7ACDAC55" w14:textId="77777777" w:rsidR="00453342" w:rsidRPr="000F564E" w:rsidRDefault="00453342" w:rsidP="000F564E">
      <w:pPr>
        <w:spacing w:after="0" w:line="360" w:lineRule="auto"/>
        <w:jc w:val="center"/>
        <w:rPr>
          <w:rFonts w:ascii="Bookman Old Style" w:hAnsi="Bookman Old Style" w:cs="Times New Roman"/>
          <w:b/>
          <w:bCs/>
          <w:sz w:val="24"/>
          <w:szCs w:val="24"/>
        </w:rPr>
      </w:pPr>
    </w:p>
    <w:p w14:paraId="3F593FFA" w14:textId="77777777" w:rsidR="00453342" w:rsidRPr="000F564E" w:rsidRDefault="00453342" w:rsidP="000F564E">
      <w:pPr>
        <w:spacing w:after="0" w:line="360" w:lineRule="auto"/>
        <w:jc w:val="center"/>
        <w:rPr>
          <w:rFonts w:ascii="Bookman Old Style" w:hAnsi="Bookman Old Style" w:cs="Times New Roman"/>
          <w:b/>
          <w:bCs/>
          <w:sz w:val="24"/>
          <w:szCs w:val="24"/>
        </w:rPr>
      </w:pPr>
      <w:r w:rsidRPr="000F564E">
        <w:rPr>
          <w:rFonts w:ascii="Bookman Old Style" w:hAnsi="Bookman Old Style" w:cs="Times New Roman"/>
          <w:b/>
          <w:bCs/>
          <w:sz w:val="24"/>
          <w:szCs w:val="24"/>
        </w:rPr>
        <w:t>RAPPORT DU COMITÉ EXÉCUTIF SUR LES QUESTIONS FINANCIÈRES</w:t>
      </w:r>
    </w:p>
    <w:p w14:paraId="5DF8207A" w14:textId="77777777" w:rsidR="00453342" w:rsidRPr="000F564E" w:rsidRDefault="00453342" w:rsidP="000F564E">
      <w:pPr>
        <w:spacing w:after="0" w:line="360" w:lineRule="auto"/>
        <w:jc w:val="center"/>
        <w:rPr>
          <w:rFonts w:ascii="Bookman Old Style" w:hAnsi="Bookman Old Style" w:cs="Times New Roman"/>
          <w:b/>
          <w:bCs/>
          <w:sz w:val="24"/>
          <w:szCs w:val="24"/>
        </w:rPr>
      </w:pPr>
      <w:r w:rsidRPr="000F564E">
        <w:rPr>
          <w:rFonts w:ascii="Bookman Old Style" w:hAnsi="Bookman Old Style" w:cs="Times New Roman"/>
          <w:b/>
          <w:bCs/>
          <w:sz w:val="24"/>
          <w:szCs w:val="24"/>
        </w:rPr>
        <w:t>(RAPPORT DU TRÉSORIER)</w:t>
      </w:r>
    </w:p>
    <w:p w14:paraId="1302CD2D" w14:textId="77777777" w:rsidR="00453342" w:rsidRDefault="00453342" w:rsidP="000F564E">
      <w:pPr>
        <w:spacing w:after="0" w:line="360" w:lineRule="auto"/>
        <w:jc w:val="center"/>
        <w:rPr>
          <w:rFonts w:ascii="Bookman Old Style" w:hAnsi="Bookman Old Style" w:cs="Times New Roman"/>
          <w:b/>
          <w:bCs/>
          <w:sz w:val="24"/>
          <w:szCs w:val="24"/>
          <w:highlight w:val="cyan"/>
        </w:rPr>
      </w:pPr>
    </w:p>
    <w:p w14:paraId="520D1715" w14:textId="77777777" w:rsidR="0089780C" w:rsidRDefault="0089780C" w:rsidP="000F564E">
      <w:pPr>
        <w:pBdr>
          <w:bottom w:val="single" w:sz="6" w:space="1" w:color="auto"/>
        </w:pBdr>
        <w:spacing w:after="0" w:line="360" w:lineRule="auto"/>
        <w:jc w:val="center"/>
      </w:pPr>
      <w:r>
        <w:rPr>
          <w:rFonts w:ascii="Bookman Old Style" w:hAnsi="Bookman Old Style"/>
          <w:b/>
          <w:color w:val="000000" w:themeColor="text1"/>
          <w:sz w:val="24"/>
        </w:rPr>
        <w:t>DOCUMENT 2</w:t>
      </w:r>
      <w:r>
        <w:t xml:space="preserve"> </w:t>
      </w:r>
    </w:p>
    <w:p w14:paraId="2F905141" w14:textId="0D4BE6CB" w:rsidR="0089780C" w:rsidRPr="0089780C" w:rsidRDefault="0089780C" w:rsidP="000F564E">
      <w:pPr>
        <w:pBdr>
          <w:bottom w:val="single" w:sz="6" w:space="1" w:color="auto"/>
        </w:pBdr>
        <w:spacing w:after="0" w:line="360" w:lineRule="auto"/>
        <w:jc w:val="center"/>
        <w:rPr>
          <w:rFonts w:ascii="Bookman Old Style" w:hAnsi="Bookman Old Style" w:cs="Calibri"/>
          <w:b/>
          <w:noProof/>
          <w:color w:val="000000" w:themeColor="text1"/>
          <w:sz w:val="24"/>
          <w:szCs w:val="24"/>
        </w:rPr>
      </w:pPr>
      <w:r>
        <w:rPr>
          <w:rFonts w:ascii="Bookman Old Style" w:hAnsi="Bookman Old Style"/>
          <w:b/>
          <w:color w:val="000000" w:themeColor="text1"/>
          <w:sz w:val="24"/>
        </w:rPr>
        <w:t>COMPTES DE GESTION POUR LA PÉRIODE DU 1</w:t>
      </w:r>
      <w:r>
        <w:rPr>
          <w:rFonts w:ascii="Bookman Old Style" w:hAnsi="Bookman Old Style"/>
          <w:b/>
          <w:color w:val="000000" w:themeColor="text1"/>
          <w:sz w:val="24"/>
          <w:vertAlign w:val="superscript"/>
        </w:rPr>
        <w:t>ER</w:t>
      </w:r>
      <w:r>
        <w:rPr>
          <w:rFonts w:ascii="Bookman Old Style" w:hAnsi="Bookman Old Style"/>
          <w:b/>
          <w:color w:val="000000" w:themeColor="text1"/>
          <w:sz w:val="24"/>
        </w:rPr>
        <w:t xml:space="preserve"> AVRIL 2022 AU 30 SEPTEMBRE 2022</w:t>
      </w:r>
    </w:p>
    <w:p w14:paraId="11230D3E" w14:textId="08BFBB59" w:rsidR="0089780C" w:rsidRPr="0089780C" w:rsidRDefault="0089780C" w:rsidP="0089780C">
      <w:pPr>
        <w:spacing w:after="0" w:line="240" w:lineRule="auto"/>
        <w:jc w:val="both"/>
        <w:rPr>
          <w:rFonts w:ascii="Bookman Old Style" w:eastAsia="Calibri" w:hAnsi="Bookman Old Style" w:cs="Arial"/>
          <w:b/>
          <w:sz w:val="24"/>
          <w:szCs w:val="24"/>
        </w:rPr>
      </w:pPr>
      <w:bookmarkStart w:id="0" w:name="_Hlk54683914"/>
    </w:p>
    <w:p w14:paraId="28633D8F" w14:textId="74F7E4B7" w:rsidR="0089780C" w:rsidRPr="0089780C" w:rsidRDefault="0089780C" w:rsidP="0089780C">
      <w:pPr>
        <w:spacing w:after="0" w:line="240" w:lineRule="auto"/>
        <w:jc w:val="both"/>
        <w:rPr>
          <w:rFonts w:ascii="Bookman Old Style" w:eastAsia="Calibri" w:hAnsi="Bookman Old Style" w:cs="Arial"/>
          <w:bCs/>
          <w:sz w:val="24"/>
          <w:szCs w:val="24"/>
        </w:rPr>
      </w:pPr>
      <w:r>
        <w:rPr>
          <w:rFonts w:ascii="Bookman Old Style" w:hAnsi="Bookman Old Style"/>
          <w:sz w:val="24"/>
        </w:rPr>
        <w:t>Les comptes de gestion pour la période du 1er avril 2022 au 30 septembre 2022 se composent des éléments suivants :</w:t>
      </w:r>
    </w:p>
    <w:p w14:paraId="3E83052C" w14:textId="023D54C5" w:rsidR="0089780C" w:rsidRPr="00F55B99" w:rsidRDefault="0089780C" w:rsidP="0089780C">
      <w:pPr>
        <w:spacing w:after="0" w:line="240" w:lineRule="auto"/>
        <w:jc w:val="both"/>
        <w:rPr>
          <w:rFonts w:ascii="Bookman Old Style" w:eastAsia="Calibri" w:hAnsi="Bookman Old Style" w:cs="Arial"/>
          <w:bCs/>
          <w:sz w:val="24"/>
          <w:szCs w:val="24"/>
          <w:lang w:bidi="en-US"/>
        </w:rPr>
      </w:pPr>
    </w:p>
    <w:p w14:paraId="65439F2A" w14:textId="4D2CEEC9" w:rsidR="00A64F7F" w:rsidRPr="0089780C" w:rsidRDefault="0089780C" w:rsidP="0089780C">
      <w:pPr>
        <w:pStyle w:val="ListParagraph"/>
        <w:numPr>
          <w:ilvl w:val="0"/>
          <w:numId w:val="30"/>
        </w:numPr>
        <w:jc w:val="both"/>
        <w:rPr>
          <w:rFonts w:ascii="Bookman Old Style" w:eastAsia="Calibri" w:hAnsi="Bookman Old Style" w:cs="Arial"/>
          <w:bCs/>
          <w:sz w:val="24"/>
          <w:szCs w:val="24"/>
        </w:rPr>
      </w:pPr>
      <w:bookmarkStart w:id="1" w:name="_Hlk103862541"/>
      <w:r>
        <w:rPr>
          <w:rFonts w:ascii="Bookman Old Style" w:hAnsi="Bookman Old Style"/>
          <w:sz w:val="24"/>
        </w:rPr>
        <w:t>Mise à jour des contributions obligatoires des membres à la date du 31 octobre 2022</w:t>
      </w:r>
    </w:p>
    <w:p w14:paraId="6E3DFB93" w14:textId="77777777" w:rsidR="00A64F7F" w:rsidRPr="00F55B99" w:rsidRDefault="00A64F7F" w:rsidP="00A64F7F">
      <w:pPr>
        <w:spacing w:after="0" w:line="240" w:lineRule="auto"/>
        <w:ind w:left="1440"/>
        <w:contextualSpacing/>
        <w:jc w:val="both"/>
        <w:rPr>
          <w:rFonts w:ascii="Bookman Old Style" w:eastAsia="Calibri" w:hAnsi="Bookman Old Style" w:cs="Arial"/>
          <w:bCs/>
          <w:sz w:val="24"/>
          <w:szCs w:val="24"/>
          <w:lang w:bidi="en-US"/>
        </w:rPr>
      </w:pPr>
    </w:p>
    <w:bookmarkEnd w:id="1"/>
    <w:p w14:paraId="5AE93721" w14:textId="1F717F50" w:rsidR="00A64F7F" w:rsidRPr="0089780C" w:rsidRDefault="00A64F7F" w:rsidP="0089780C">
      <w:pPr>
        <w:pStyle w:val="ListParagraph"/>
        <w:numPr>
          <w:ilvl w:val="0"/>
          <w:numId w:val="29"/>
        </w:numPr>
        <w:jc w:val="both"/>
        <w:rPr>
          <w:rFonts w:ascii="Bookman Old Style" w:eastAsia="Calibri" w:hAnsi="Bookman Old Style" w:cs="Arial"/>
          <w:bCs/>
          <w:sz w:val="24"/>
          <w:szCs w:val="24"/>
        </w:rPr>
      </w:pPr>
      <w:r>
        <w:rPr>
          <w:rFonts w:ascii="Bookman Old Style" w:hAnsi="Bookman Old Style"/>
          <w:sz w:val="24"/>
        </w:rPr>
        <w:t>Rapport sur la performance budgétaire au 30 septembre 2022</w:t>
      </w:r>
    </w:p>
    <w:p w14:paraId="69292046" w14:textId="77777777" w:rsidR="00446BA4" w:rsidRDefault="00A64F7F" w:rsidP="00446BA4">
      <w:pPr>
        <w:pStyle w:val="ListParagraph"/>
        <w:numPr>
          <w:ilvl w:val="1"/>
          <w:numId w:val="29"/>
        </w:numPr>
        <w:jc w:val="both"/>
        <w:rPr>
          <w:rFonts w:ascii="Bookman Old Style" w:eastAsia="Calibri" w:hAnsi="Bookman Old Style" w:cs="Arial"/>
          <w:bCs/>
          <w:sz w:val="24"/>
          <w:szCs w:val="24"/>
        </w:rPr>
      </w:pPr>
      <w:bookmarkStart w:id="2" w:name="_Hlk104894569"/>
      <w:r>
        <w:rPr>
          <w:rFonts w:ascii="Bookman Old Style" w:hAnsi="Bookman Old Style"/>
          <w:sz w:val="24"/>
        </w:rPr>
        <w:t xml:space="preserve">Mise à jour sur l'impact de la politique visant à optimiser la technologie pour la mise en œuvre des activités </w:t>
      </w:r>
      <w:bookmarkStart w:id="3" w:name="_Hlk104222894"/>
      <w:bookmarkEnd w:id="2"/>
    </w:p>
    <w:p w14:paraId="1788CD86" w14:textId="77777777" w:rsidR="00446BA4" w:rsidRDefault="00A64F7F" w:rsidP="00446BA4">
      <w:pPr>
        <w:pStyle w:val="ListParagraph"/>
        <w:numPr>
          <w:ilvl w:val="1"/>
          <w:numId w:val="29"/>
        </w:numPr>
        <w:jc w:val="both"/>
        <w:rPr>
          <w:rFonts w:ascii="Bookman Old Style" w:eastAsia="Calibri" w:hAnsi="Bookman Old Style" w:cs="Arial"/>
          <w:bCs/>
          <w:sz w:val="24"/>
          <w:szCs w:val="24"/>
        </w:rPr>
      </w:pPr>
      <w:r>
        <w:rPr>
          <w:rFonts w:ascii="Bookman Old Style" w:hAnsi="Bookman Old Style"/>
          <w:sz w:val="24"/>
        </w:rPr>
        <w:t>Rapport sur les écarts budgétaires en date du 30 septembre 2022 (recettes)</w:t>
      </w:r>
      <w:bookmarkEnd w:id="3"/>
    </w:p>
    <w:p w14:paraId="0B90C43C" w14:textId="2903F2DD" w:rsidR="00A64F7F" w:rsidRPr="00446BA4" w:rsidRDefault="00A64F7F" w:rsidP="00446BA4">
      <w:pPr>
        <w:pStyle w:val="ListParagraph"/>
        <w:numPr>
          <w:ilvl w:val="1"/>
          <w:numId w:val="29"/>
        </w:numPr>
        <w:jc w:val="both"/>
        <w:rPr>
          <w:rFonts w:ascii="Bookman Old Style" w:eastAsia="Calibri" w:hAnsi="Bookman Old Style" w:cs="Arial"/>
          <w:bCs/>
          <w:sz w:val="24"/>
          <w:szCs w:val="24"/>
        </w:rPr>
      </w:pPr>
      <w:r>
        <w:rPr>
          <w:rFonts w:ascii="Bookman Old Style" w:hAnsi="Bookman Old Style"/>
          <w:sz w:val="24"/>
        </w:rPr>
        <w:t>Rapport sur les écarts budgétaires en date du 30 septembre 2022 (dépenses)</w:t>
      </w:r>
      <w:bookmarkStart w:id="4" w:name="_Hlk104222985"/>
      <w:bookmarkStart w:id="5" w:name="_Hlk70591183"/>
      <w:bookmarkStart w:id="6" w:name="_Hlk54280891"/>
      <w:bookmarkStart w:id="7" w:name="_Hlk70321262"/>
    </w:p>
    <w:bookmarkEnd w:id="4"/>
    <w:p w14:paraId="4BC4D995" w14:textId="77777777" w:rsidR="00A64F7F" w:rsidRPr="00F55B99" w:rsidRDefault="00A64F7F" w:rsidP="00A64F7F">
      <w:pPr>
        <w:spacing w:after="0" w:line="240" w:lineRule="auto"/>
        <w:jc w:val="both"/>
        <w:rPr>
          <w:rFonts w:ascii="Bookman Old Style" w:eastAsia="Calibri" w:hAnsi="Bookman Old Style" w:cs="Arial"/>
          <w:bCs/>
          <w:sz w:val="24"/>
          <w:szCs w:val="24"/>
          <w:lang w:bidi="en-US"/>
        </w:rPr>
      </w:pPr>
    </w:p>
    <w:p w14:paraId="59DC1446" w14:textId="77777777" w:rsidR="00A64F7F" w:rsidRPr="00A64F7F" w:rsidRDefault="00A64F7F" w:rsidP="0089780C">
      <w:pPr>
        <w:numPr>
          <w:ilvl w:val="0"/>
          <w:numId w:val="29"/>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Les rapports financiers pour les programmes/projets financés par les bailleurs de fonds</w:t>
      </w:r>
    </w:p>
    <w:p w14:paraId="6B02B7E4" w14:textId="77777777" w:rsidR="00A64F7F" w:rsidRPr="00A64F7F" w:rsidRDefault="00A64F7F" w:rsidP="0089780C">
      <w:pPr>
        <w:numPr>
          <w:ilvl w:val="1"/>
          <w:numId w:val="29"/>
        </w:numPr>
        <w:spacing w:after="0" w:line="240" w:lineRule="auto"/>
        <w:contextualSpacing/>
        <w:jc w:val="both"/>
        <w:rPr>
          <w:rFonts w:ascii="Bookman Old Style" w:eastAsia="Calibri" w:hAnsi="Bookman Old Style" w:cs="Arial"/>
          <w:sz w:val="24"/>
          <w:szCs w:val="24"/>
        </w:rPr>
      </w:pPr>
      <w:r>
        <w:rPr>
          <w:rFonts w:ascii="Bookman Old Style" w:hAnsi="Bookman Old Style"/>
          <w:sz w:val="24"/>
        </w:rPr>
        <w:t xml:space="preserve">SIDA : Le projet sur la santé et les droits sexuels et reproductifs (SRHR) </w:t>
      </w:r>
    </w:p>
    <w:p w14:paraId="62558656" w14:textId="01EF3597" w:rsidR="00A64F7F" w:rsidRPr="00A64F7F" w:rsidRDefault="00A64F7F" w:rsidP="0089780C">
      <w:pPr>
        <w:numPr>
          <w:ilvl w:val="1"/>
          <w:numId w:val="29"/>
        </w:numPr>
        <w:spacing w:after="0" w:line="240" w:lineRule="auto"/>
        <w:contextualSpacing/>
        <w:jc w:val="both"/>
        <w:rPr>
          <w:rFonts w:ascii="Bookman Old Style" w:eastAsia="Calibri" w:hAnsi="Bookman Old Style" w:cs="Arial"/>
          <w:sz w:val="24"/>
          <w:szCs w:val="24"/>
        </w:rPr>
      </w:pPr>
      <w:proofErr w:type="gramStart"/>
      <w:r>
        <w:rPr>
          <w:rFonts w:ascii="Bookman Old Style" w:hAnsi="Bookman Old Style"/>
          <w:sz w:val="24"/>
        </w:rPr>
        <w:t>ADA:</w:t>
      </w:r>
      <w:proofErr w:type="gramEnd"/>
      <w:r>
        <w:rPr>
          <w:rFonts w:ascii="Bookman Old Style" w:hAnsi="Bookman Old Style"/>
          <w:sz w:val="24"/>
        </w:rPr>
        <w:t xml:space="preserve"> Le projet de renforcement des capacités parlementaires dans la SADC</w:t>
      </w:r>
    </w:p>
    <w:p w14:paraId="060F6949" w14:textId="77777777" w:rsidR="00A64F7F" w:rsidRPr="00A64F7F" w:rsidRDefault="00A64F7F" w:rsidP="0089780C">
      <w:pPr>
        <w:numPr>
          <w:ilvl w:val="1"/>
          <w:numId w:val="29"/>
        </w:numPr>
        <w:spacing w:after="0" w:line="240" w:lineRule="auto"/>
        <w:contextualSpacing/>
        <w:jc w:val="both"/>
        <w:rPr>
          <w:rFonts w:ascii="Bookman Old Style" w:eastAsia="Calibri" w:hAnsi="Bookman Old Style" w:cs="Arial"/>
          <w:sz w:val="24"/>
          <w:szCs w:val="24"/>
        </w:rPr>
      </w:pPr>
      <w:r>
        <w:rPr>
          <w:rFonts w:ascii="Bookman Old Style" w:hAnsi="Bookman Old Style"/>
          <w:sz w:val="24"/>
        </w:rPr>
        <w:t>ACTIONAID : Le projet sur la responsabilité et la prise en compte du genre</w:t>
      </w:r>
    </w:p>
    <w:p w14:paraId="1846D968" w14:textId="77777777" w:rsidR="00A64F7F" w:rsidRPr="00A64F7F" w:rsidRDefault="00A64F7F" w:rsidP="0089780C">
      <w:pPr>
        <w:numPr>
          <w:ilvl w:val="1"/>
          <w:numId w:val="29"/>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SAFAIDS</w:t>
      </w:r>
    </w:p>
    <w:p w14:paraId="710F33FC" w14:textId="77777777" w:rsidR="00A64F7F" w:rsidRPr="00A64F7F" w:rsidRDefault="00A64F7F" w:rsidP="0089780C">
      <w:pPr>
        <w:numPr>
          <w:ilvl w:val="1"/>
          <w:numId w:val="29"/>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PLAN International, ONUSIDA et UNDOC : L'élaboration d'une loi type concernant la violence basée sur le genre (VBG)</w:t>
      </w:r>
    </w:p>
    <w:p w14:paraId="6F4A3624" w14:textId="77777777" w:rsidR="00A64F7F" w:rsidRPr="00A64F7F" w:rsidRDefault="00A64F7F" w:rsidP="0089780C">
      <w:pPr>
        <w:numPr>
          <w:ilvl w:val="1"/>
          <w:numId w:val="29"/>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Autres donateurs</w:t>
      </w:r>
    </w:p>
    <w:p w14:paraId="0D0BFCFD" w14:textId="77777777" w:rsidR="00A64F7F" w:rsidRPr="00A64F7F" w:rsidRDefault="00A64F7F" w:rsidP="00A64F7F">
      <w:pPr>
        <w:spacing w:after="0" w:line="240" w:lineRule="auto"/>
        <w:ind w:left="1440"/>
        <w:contextualSpacing/>
        <w:jc w:val="both"/>
        <w:rPr>
          <w:rFonts w:ascii="Bookman Old Style" w:eastAsia="Calibri" w:hAnsi="Bookman Old Style" w:cs="Arial"/>
          <w:bCs/>
          <w:sz w:val="24"/>
          <w:szCs w:val="24"/>
          <w:lang w:val="en-GB" w:bidi="en-US"/>
        </w:rPr>
      </w:pPr>
    </w:p>
    <w:p w14:paraId="5CA4D3A7" w14:textId="77777777" w:rsidR="008C3BA9" w:rsidRPr="00453342" w:rsidRDefault="008C3BA9" w:rsidP="008C3BA9">
      <w:pPr>
        <w:spacing w:after="0" w:line="240" w:lineRule="auto"/>
        <w:contextualSpacing/>
        <w:rPr>
          <w:rFonts w:ascii="Bookman Old Style" w:eastAsia="Calibri" w:hAnsi="Bookman Old Style" w:cs="Arial"/>
          <w:strike/>
          <w:sz w:val="24"/>
          <w:szCs w:val="24"/>
          <w:highlight w:val="cyan"/>
          <w:lang w:bidi="en-US"/>
        </w:rPr>
      </w:pPr>
      <w:bookmarkStart w:id="8" w:name="_Hlk117147364"/>
    </w:p>
    <w:bookmarkEnd w:id="0"/>
    <w:bookmarkEnd w:id="5"/>
    <w:bookmarkEnd w:id="6"/>
    <w:bookmarkEnd w:id="7"/>
    <w:bookmarkEnd w:id="8"/>
    <w:p w14:paraId="3E57E971" w14:textId="2DD1756C" w:rsidR="00A64F7F" w:rsidRDefault="00665270" w:rsidP="00A64F7F">
      <w:pPr>
        <w:pStyle w:val="ListParagraph"/>
        <w:numPr>
          <w:ilvl w:val="0"/>
          <w:numId w:val="31"/>
        </w:numPr>
        <w:jc w:val="both"/>
        <w:rPr>
          <w:rFonts w:ascii="Bookman Old Style" w:eastAsia="Calibri" w:hAnsi="Bookman Old Style" w:cs="Arial"/>
          <w:b/>
          <w:sz w:val="24"/>
          <w:szCs w:val="24"/>
          <w:u w:val="single"/>
        </w:rPr>
      </w:pPr>
      <w:r>
        <w:rPr>
          <w:rFonts w:ascii="Bookman Old Style" w:hAnsi="Bookman Old Style"/>
          <w:b/>
          <w:sz w:val="24"/>
          <w:u w:val="single"/>
        </w:rPr>
        <w:lastRenderedPageBreak/>
        <w:t xml:space="preserve">MISE À JOUR DES COTISATIONS OBLIGATOIRES DES MEMBRES À LA DATE DU 31 OCTOBRE 2022 </w:t>
      </w:r>
    </w:p>
    <w:p w14:paraId="501DB74E" w14:textId="77777777" w:rsidR="008F3729" w:rsidRPr="008F3729" w:rsidRDefault="008F3729" w:rsidP="008F3729">
      <w:pPr>
        <w:pStyle w:val="ListParagraph"/>
        <w:ind w:firstLine="0"/>
        <w:jc w:val="both"/>
        <w:rPr>
          <w:rFonts w:ascii="Bookman Old Style" w:eastAsia="Calibri" w:hAnsi="Bookman Old Style" w:cs="Arial"/>
          <w:b/>
          <w:sz w:val="24"/>
          <w:szCs w:val="24"/>
          <w:u w:val="single"/>
        </w:rPr>
      </w:pPr>
    </w:p>
    <w:p w14:paraId="4DA3754F" w14:textId="45957D8E" w:rsidR="00A64F7F" w:rsidRPr="00A64F7F" w:rsidRDefault="00A64F7F" w:rsidP="00A64F7F">
      <w:pPr>
        <w:spacing w:after="0" w:line="240" w:lineRule="auto"/>
        <w:jc w:val="both"/>
        <w:rPr>
          <w:rFonts w:ascii="Bookman Old Style" w:eastAsia="Calibri" w:hAnsi="Bookman Old Style" w:cs="Arial"/>
          <w:bCs/>
          <w:sz w:val="24"/>
          <w:szCs w:val="24"/>
        </w:rPr>
      </w:pPr>
      <w:r>
        <w:rPr>
          <w:rFonts w:ascii="Bookman Old Style" w:hAnsi="Bookman Old Style"/>
          <w:sz w:val="24"/>
        </w:rPr>
        <w:t>1.1.</w:t>
      </w:r>
      <w:r>
        <w:rPr>
          <w:rFonts w:ascii="Bookman Old Style" w:hAnsi="Bookman Old Style"/>
          <w:sz w:val="24"/>
        </w:rPr>
        <w:tab/>
        <w:t>Contexte des contributions obligatoires annuelles</w:t>
      </w:r>
    </w:p>
    <w:p w14:paraId="12D828B3" w14:textId="77777777" w:rsidR="00A64F7F" w:rsidRPr="00A64F7F" w:rsidRDefault="00A64F7F" w:rsidP="00A64F7F">
      <w:pPr>
        <w:spacing w:after="0" w:line="240" w:lineRule="auto"/>
        <w:ind w:firstLine="360"/>
        <w:jc w:val="both"/>
        <w:rPr>
          <w:rFonts w:ascii="Bookman Old Style" w:eastAsia="Calibri" w:hAnsi="Bookman Old Style" w:cs="Arial"/>
          <w:bCs/>
          <w:sz w:val="24"/>
          <w:szCs w:val="24"/>
          <w:lang w:val="en-GB" w:bidi="en-US"/>
        </w:rPr>
      </w:pPr>
    </w:p>
    <w:p w14:paraId="36FA6F94" w14:textId="77777777" w:rsidR="000F564E" w:rsidRPr="000F564E" w:rsidRDefault="00A64F7F" w:rsidP="00A64F7F">
      <w:pPr>
        <w:numPr>
          <w:ilvl w:val="0"/>
          <w:numId w:val="3"/>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Les contributions obligatoires annuelles des parlements membres s'élèvent actuellement à 1 501 500 dollars namibiens par an et par parlement. La contribution des Seychelles est de 127 050 dollars namibiens par an.</w:t>
      </w:r>
    </w:p>
    <w:p w14:paraId="099E1C12" w14:textId="761FA499" w:rsidR="00A64F7F" w:rsidRPr="00A64F7F" w:rsidRDefault="00A64F7F" w:rsidP="000F564E">
      <w:pPr>
        <w:spacing w:after="0" w:line="240" w:lineRule="auto"/>
        <w:ind w:left="1440"/>
        <w:contextualSpacing/>
        <w:jc w:val="both"/>
        <w:rPr>
          <w:rFonts w:ascii="Bookman Old Style" w:eastAsia="Calibri" w:hAnsi="Bookman Old Style" w:cs="Arial"/>
          <w:bCs/>
          <w:sz w:val="24"/>
          <w:szCs w:val="24"/>
        </w:rPr>
      </w:pPr>
      <w:r>
        <w:rPr>
          <w:rFonts w:ascii="Bookman Old Style" w:hAnsi="Bookman Old Style"/>
          <w:sz w:val="24"/>
        </w:rPr>
        <w:t xml:space="preserve"> </w:t>
      </w:r>
    </w:p>
    <w:p w14:paraId="11A78521" w14:textId="32B2303E" w:rsidR="00A64F7F" w:rsidRPr="00A64F7F" w:rsidRDefault="00A64F7F" w:rsidP="00A64F7F">
      <w:pPr>
        <w:numPr>
          <w:ilvl w:val="0"/>
          <w:numId w:val="3"/>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Le revenu total des contributions obligatoires pour l'exercice financier du 1</w:t>
      </w:r>
      <w:r>
        <w:rPr>
          <w:rFonts w:ascii="Bookman Old Style" w:hAnsi="Bookman Old Style"/>
          <w:sz w:val="24"/>
          <w:vertAlign w:val="superscript"/>
        </w:rPr>
        <w:t>er</w:t>
      </w:r>
      <w:r>
        <w:rPr>
          <w:rFonts w:ascii="Bookman Old Style" w:hAnsi="Bookman Old Style"/>
          <w:sz w:val="24"/>
        </w:rPr>
        <w:t xml:space="preserve"> avril 2022 au 31 mars 2023 est donc de 21 148 050 dollars namibiens. </w:t>
      </w:r>
    </w:p>
    <w:p w14:paraId="62AB0B5E" w14:textId="77777777" w:rsidR="00A64F7F" w:rsidRPr="00F55B99" w:rsidRDefault="00A64F7F" w:rsidP="00A64F7F">
      <w:pPr>
        <w:spacing w:after="0" w:line="240" w:lineRule="auto"/>
        <w:ind w:left="1440"/>
        <w:contextualSpacing/>
        <w:jc w:val="both"/>
        <w:rPr>
          <w:rFonts w:ascii="Bookman Old Style" w:eastAsia="Calibri" w:hAnsi="Bookman Old Style" w:cs="Arial"/>
          <w:bCs/>
          <w:sz w:val="24"/>
          <w:szCs w:val="24"/>
          <w:lang w:bidi="en-US"/>
        </w:rPr>
      </w:pPr>
    </w:p>
    <w:p w14:paraId="56E000D2" w14:textId="7E913B54" w:rsidR="00A64F7F" w:rsidRPr="00A64F7F" w:rsidRDefault="00A64F7F" w:rsidP="00C2451F">
      <w:pPr>
        <w:spacing w:after="0" w:line="240" w:lineRule="auto"/>
        <w:ind w:left="720" w:hanging="720"/>
        <w:jc w:val="both"/>
        <w:rPr>
          <w:rFonts w:ascii="Bookman Old Style" w:eastAsia="Calibri" w:hAnsi="Bookman Old Style" w:cs="Arial"/>
          <w:b/>
          <w:sz w:val="24"/>
          <w:szCs w:val="24"/>
        </w:rPr>
      </w:pPr>
      <w:r>
        <w:rPr>
          <w:rFonts w:ascii="Bookman Old Style" w:hAnsi="Bookman Old Style"/>
          <w:sz w:val="24"/>
        </w:rPr>
        <w:t>1.2.</w:t>
      </w:r>
      <w:r>
        <w:rPr>
          <w:rFonts w:ascii="Bookman Old Style" w:hAnsi="Bookman Old Style"/>
          <w:sz w:val="24"/>
        </w:rPr>
        <w:tab/>
      </w:r>
      <w:r>
        <w:rPr>
          <w:rFonts w:ascii="Bookman Old Style" w:hAnsi="Bookman Old Style"/>
          <w:b/>
          <w:sz w:val="24"/>
        </w:rPr>
        <w:t>Situation des contributions des membres à la date du 31 octobre 2022</w:t>
      </w:r>
    </w:p>
    <w:p w14:paraId="6A8C52CD" w14:textId="77777777" w:rsidR="00A64F7F" w:rsidRPr="00F55B99" w:rsidRDefault="00A64F7F" w:rsidP="00A64F7F">
      <w:pPr>
        <w:spacing w:after="0" w:line="240" w:lineRule="auto"/>
        <w:jc w:val="both"/>
        <w:rPr>
          <w:rFonts w:ascii="Bookman Old Style" w:eastAsia="Calibri" w:hAnsi="Bookman Old Style" w:cs="Arial"/>
          <w:bCs/>
          <w:sz w:val="24"/>
          <w:szCs w:val="24"/>
          <w:lang w:bidi="en-US"/>
        </w:rPr>
      </w:pPr>
    </w:p>
    <w:p w14:paraId="24516C80" w14:textId="629C5027" w:rsidR="00A64F7F" w:rsidRDefault="00A64F7F" w:rsidP="000F564E">
      <w:pPr>
        <w:spacing w:after="0" w:line="240" w:lineRule="auto"/>
        <w:ind w:left="709" w:hanging="709"/>
        <w:jc w:val="both"/>
        <w:rPr>
          <w:rFonts w:ascii="Bookman Old Style" w:hAnsi="Bookman Old Style"/>
          <w:sz w:val="24"/>
        </w:rPr>
      </w:pPr>
      <w:r>
        <w:rPr>
          <w:rFonts w:ascii="Bookman Old Style" w:hAnsi="Bookman Old Style"/>
          <w:sz w:val="24"/>
        </w:rPr>
        <w:t xml:space="preserve">1.2.1 </w:t>
      </w:r>
      <w:r>
        <w:rPr>
          <w:rFonts w:ascii="Bookman Old Style" w:hAnsi="Bookman Old Style"/>
          <w:sz w:val="24"/>
        </w:rPr>
        <w:tab/>
        <w:t>Bien que la période de référence pour ces comptes de gestion soit la période allant du 1er avril 2022 au 30 septembre 2022, la mise à jour des contributions des membres est présentée jusqu'au 31 octobre 2022 afin de saisir la dernière position avant la réunion du Comité exécutif.</w:t>
      </w:r>
    </w:p>
    <w:p w14:paraId="07765543" w14:textId="77777777" w:rsidR="000F564E" w:rsidRPr="00A64F7F" w:rsidRDefault="000F564E" w:rsidP="000F564E">
      <w:pPr>
        <w:spacing w:after="0" w:line="240" w:lineRule="auto"/>
        <w:ind w:left="709" w:hanging="709"/>
        <w:jc w:val="both"/>
        <w:rPr>
          <w:rFonts w:ascii="Bookman Old Style" w:eastAsia="Calibri" w:hAnsi="Bookman Old Style" w:cs="Arial"/>
          <w:bCs/>
          <w:sz w:val="24"/>
          <w:szCs w:val="24"/>
        </w:rPr>
      </w:pPr>
    </w:p>
    <w:p w14:paraId="610ACEAB" w14:textId="4A0C5DAF" w:rsidR="00837F50" w:rsidRDefault="00A64F7F" w:rsidP="000F564E">
      <w:pPr>
        <w:spacing w:after="0" w:line="240" w:lineRule="auto"/>
        <w:ind w:left="709" w:hanging="709"/>
        <w:jc w:val="both"/>
        <w:rPr>
          <w:rFonts w:ascii="Bookman Old Style" w:hAnsi="Bookman Old Style"/>
          <w:sz w:val="24"/>
        </w:rPr>
      </w:pPr>
      <w:r>
        <w:rPr>
          <w:rFonts w:ascii="Bookman Old Style" w:hAnsi="Bookman Old Style"/>
          <w:sz w:val="24"/>
        </w:rPr>
        <w:t>1.2.2.</w:t>
      </w:r>
      <w:r>
        <w:rPr>
          <w:rFonts w:ascii="Bookman Old Style" w:hAnsi="Bookman Old Style"/>
          <w:sz w:val="24"/>
        </w:rPr>
        <w:tab/>
        <w:t>A la date du 31 octobre 2022, huit Parlements ont payé intégralement leurs contributions pour l'exercice en cours et n'ont aucun solde à payer. Il s'agit notamment de l'Angola, du Botswana, de l'Eswatini, de Maurice, du Mozambique, de la Namibie, de l'Afrique du Sud et de la Zambie.</w:t>
      </w:r>
    </w:p>
    <w:p w14:paraId="7803B420" w14:textId="77777777" w:rsidR="000F564E" w:rsidRDefault="000F564E" w:rsidP="000F564E">
      <w:pPr>
        <w:spacing w:after="0" w:line="240" w:lineRule="auto"/>
        <w:ind w:left="709" w:hanging="709"/>
        <w:jc w:val="both"/>
        <w:rPr>
          <w:rFonts w:ascii="Bookman Old Style" w:eastAsia="Calibri" w:hAnsi="Bookman Old Style" w:cs="Arial"/>
          <w:bCs/>
          <w:sz w:val="24"/>
          <w:szCs w:val="24"/>
        </w:rPr>
      </w:pPr>
    </w:p>
    <w:p w14:paraId="5CF1CB3E" w14:textId="4637FFA7" w:rsidR="00402876" w:rsidRDefault="00A64F7F" w:rsidP="000F564E">
      <w:pPr>
        <w:spacing w:after="0" w:line="240" w:lineRule="auto"/>
        <w:ind w:left="709" w:hanging="709"/>
        <w:jc w:val="both"/>
        <w:rPr>
          <w:rFonts w:ascii="Bookman Old Style" w:hAnsi="Bookman Old Style"/>
          <w:sz w:val="24"/>
        </w:rPr>
      </w:pPr>
      <w:r>
        <w:rPr>
          <w:rFonts w:ascii="Bookman Old Style" w:hAnsi="Bookman Old Style"/>
          <w:sz w:val="24"/>
        </w:rPr>
        <w:t>1.2.3.</w:t>
      </w:r>
      <w:r>
        <w:rPr>
          <w:rFonts w:ascii="Bookman Old Style" w:hAnsi="Bookman Old Style"/>
          <w:sz w:val="24"/>
        </w:rPr>
        <w:tab/>
        <w:t>Sept pays ont des soldes impayés pour l'exercice en cours, à savoir la République démocratique du Congo, le Lesotho, Madagascar, le Malawi, les Seychelles, la Tanzanie et le Zimbabwe.</w:t>
      </w:r>
    </w:p>
    <w:p w14:paraId="58779F6A" w14:textId="77777777" w:rsidR="000F564E" w:rsidRDefault="000F564E" w:rsidP="000F564E">
      <w:pPr>
        <w:spacing w:after="0" w:line="240" w:lineRule="auto"/>
        <w:ind w:left="709" w:hanging="709"/>
        <w:jc w:val="both"/>
        <w:rPr>
          <w:rFonts w:ascii="Bookman Old Style" w:eastAsia="Calibri" w:hAnsi="Bookman Old Style" w:cs="Arial"/>
          <w:bCs/>
          <w:sz w:val="24"/>
          <w:szCs w:val="24"/>
        </w:rPr>
      </w:pPr>
    </w:p>
    <w:p w14:paraId="65F67011" w14:textId="5179A29B" w:rsidR="00A64F7F" w:rsidRPr="00A64F7F" w:rsidRDefault="00402876" w:rsidP="000F564E">
      <w:pPr>
        <w:spacing w:after="0" w:line="240" w:lineRule="auto"/>
        <w:ind w:left="709" w:hanging="709"/>
        <w:jc w:val="both"/>
        <w:rPr>
          <w:rFonts w:ascii="Bookman Old Style" w:eastAsia="Calibri" w:hAnsi="Bookman Old Style" w:cs="Arial"/>
          <w:bCs/>
          <w:sz w:val="24"/>
          <w:szCs w:val="24"/>
        </w:rPr>
      </w:pPr>
      <w:r>
        <w:rPr>
          <w:rFonts w:ascii="Bookman Old Style" w:hAnsi="Bookman Old Style"/>
          <w:sz w:val="24"/>
        </w:rPr>
        <w:t>1.2.4.</w:t>
      </w:r>
      <w:r>
        <w:rPr>
          <w:rFonts w:ascii="Bookman Old Style" w:hAnsi="Bookman Old Style"/>
          <w:sz w:val="24"/>
        </w:rPr>
        <w:tab/>
        <w:t xml:space="preserve">Il convient de noter que, pour la première fois depuis de nombreuses années, le Parlement n'est pas redevable pour les années antérieures. </w:t>
      </w:r>
    </w:p>
    <w:p w14:paraId="3A3634F6" w14:textId="77777777" w:rsidR="00A64F7F" w:rsidRPr="00F55B99" w:rsidRDefault="00A64F7F" w:rsidP="000F564E">
      <w:pPr>
        <w:spacing w:after="0" w:line="240" w:lineRule="auto"/>
        <w:ind w:left="709" w:hanging="709"/>
        <w:jc w:val="both"/>
        <w:rPr>
          <w:rFonts w:ascii="Bookman Old Style" w:eastAsia="Calibri" w:hAnsi="Bookman Old Style" w:cs="Arial"/>
          <w:bCs/>
          <w:sz w:val="24"/>
          <w:szCs w:val="24"/>
          <w:lang w:bidi="en-US"/>
        </w:rPr>
      </w:pPr>
    </w:p>
    <w:p w14:paraId="4C9A93B7" w14:textId="77777777" w:rsidR="00A64F7F" w:rsidRPr="00F55B99" w:rsidRDefault="00A64F7F" w:rsidP="000F564E">
      <w:pPr>
        <w:spacing w:after="0" w:line="240" w:lineRule="auto"/>
        <w:ind w:left="709" w:hanging="709"/>
        <w:jc w:val="both"/>
        <w:rPr>
          <w:rFonts w:ascii="Bookman Old Style" w:eastAsia="Calibri" w:hAnsi="Bookman Old Style" w:cs="Arial"/>
          <w:bCs/>
          <w:sz w:val="24"/>
          <w:szCs w:val="24"/>
          <w:lang w:bidi="en-US"/>
        </w:rPr>
      </w:pPr>
    </w:p>
    <w:p w14:paraId="61219EDB" w14:textId="30894DE0" w:rsidR="00A64F7F" w:rsidRPr="00A64F7F" w:rsidRDefault="00A64F7F" w:rsidP="00F55B99">
      <w:pPr>
        <w:keepNext/>
        <w:keepLines/>
        <w:spacing w:after="0" w:line="240" w:lineRule="auto"/>
        <w:jc w:val="both"/>
        <w:rPr>
          <w:rFonts w:ascii="Bookman Old Style" w:eastAsia="Calibri" w:hAnsi="Bookman Old Style" w:cs="Arial"/>
          <w:bCs/>
          <w:sz w:val="24"/>
          <w:szCs w:val="24"/>
        </w:rPr>
      </w:pPr>
      <w:r>
        <w:rPr>
          <w:rFonts w:ascii="Bookman Old Style" w:hAnsi="Bookman Old Style"/>
          <w:sz w:val="24"/>
          <w:u w:val="single"/>
        </w:rPr>
        <w:lastRenderedPageBreak/>
        <w:t>Annexe 1 : Situation à la date du 31 octobre 2022</w:t>
      </w:r>
    </w:p>
    <w:p w14:paraId="5BD39488" w14:textId="731A96D8" w:rsidR="00A64F7F" w:rsidRPr="009765C9" w:rsidRDefault="00C00011" w:rsidP="00F55B99">
      <w:pPr>
        <w:keepNext/>
        <w:keepLines/>
        <w:spacing w:after="0" w:line="240" w:lineRule="auto"/>
        <w:jc w:val="both"/>
        <w:rPr>
          <w:rFonts w:ascii="Bookman Old Style" w:eastAsia="Calibri" w:hAnsi="Bookman Old Style" w:cs="Arial"/>
          <w:bCs/>
          <w:sz w:val="24"/>
          <w:szCs w:val="24"/>
        </w:rPr>
      </w:pPr>
      <w:r>
        <w:rPr>
          <w:rFonts w:ascii="Bookman Old Style" w:hAnsi="Bookman Old Style"/>
          <w:color w:val="FF0000"/>
          <w:sz w:val="24"/>
        </w:rPr>
        <w:t xml:space="preserve"> </w:t>
      </w:r>
    </w:p>
    <w:p w14:paraId="3F7BF811" w14:textId="77777777" w:rsidR="00446BA4" w:rsidRPr="00DB08B6" w:rsidRDefault="00446BA4" w:rsidP="00F55B99">
      <w:pPr>
        <w:keepNext/>
        <w:keepLines/>
        <w:spacing w:after="0" w:line="240" w:lineRule="auto"/>
        <w:ind w:left="1080" w:hanging="1080"/>
        <w:jc w:val="both"/>
        <w:rPr>
          <w:rFonts w:ascii="Bookman Old Style" w:eastAsia="Calibri" w:hAnsi="Bookman Old Style" w:cs="Arial"/>
          <w:b/>
          <w:bCs/>
          <w:sz w:val="24"/>
          <w:szCs w:val="24"/>
          <w:lang w:bidi="en-US"/>
        </w:rPr>
      </w:pPr>
    </w:p>
    <w:p w14:paraId="3F82BE28" w14:textId="5E19E284" w:rsidR="00C00011" w:rsidRDefault="006C45F5" w:rsidP="00A64F7F">
      <w:pPr>
        <w:spacing w:after="0" w:line="240" w:lineRule="auto"/>
        <w:ind w:left="1080" w:hanging="1080"/>
        <w:jc w:val="both"/>
        <w:rPr>
          <w:rFonts w:ascii="Bookman Old Style" w:eastAsia="Calibri" w:hAnsi="Bookman Old Style" w:cs="Arial"/>
          <w:b/>
          <w:bCs/>
          <w:sz w:val="24"/>
          <w:szCs w:val="24"/>
          <w:lang w:val="en-GB" w:bidi="en-US"/>
        </w:rPr>
      </w:pPr>
      <w:r w:rsidRPr="006C45F5">
        <w:rPr>
          <w:noProof/>
        </w:rPr>
        <w:drawing>
          <wp:inline distT="0" distB="0" distL="0" distR="0" wp14:anchorId="71F5DF14" wp14:editId="0C5B78B2">
            <wp:extent cx="5731510" cy="32613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61360"/>
                    </a:xfrm>
                    <a:prstGeom prst="rect">
                      <a:avLst/>
                    </a:prstGeom>
                    <a:noFill/>
                    <a:ln>
                      <a:noFill/>
                    </a:ln>
                  </pic:spPr>
                </pic:pic>
              </a:graphicData>
            </a:graphic>
          </wp:inline>
        </w:drawing>
      </w:r>
    </w:p>
    <w:p w14:paraId="2213BA25" w14:textId="6F089A1A" w:rsidR="006C45F5" w:rsidRDefault="006C45F5" w:rsidP="00A64F7F">
      <w:pPr>
        <w:spacing w:after="0" w:line="240" w:lineRule="auto"/>
        <w:ind w:left="1080" w:hanging="1080"/>
        <w:jc w:val="both"/>
        <w:rPr>
          <w:rFonts w:ascii="Bookman Old Style" w:eastAsia="Calibri" w:hAnsi="Bookman Old Style" w:cs="Arial"/>
          <w:b/>
          <w:bCs/>
          <w:sz w:val="24"/>
          <w:szCs w:val="24"/>
          <w:lang w:val="en-GB" w:bidi="en-US"/>
        </w:rPr>
      </w:pPr>
    </w:p>
    <w:p w14:paraId="380CCA50" w14:textId="77777777" w:rsidR="006C45F5" w:rsidRDefault="006C45F5" w:rsidP="00A64F7F">
      <w:pPr>
        <w:spacing w:after="0" w:line="240" w:lineRule="auto"/>
        <w:ind w:left="1080" w:hanging="1080"/>
        <w:jc w:val="both"/>
        <w:rPr>
          <w:rFonts w:ascii="Bookman Old Style" w:eastAsia="Calibri" w:hAnsi="Bookman Old Style" w:cs="Arial"/>
          <w:b/>
          <w:bCs/>
          <w:sz w:val="24"/>
          <w:szCs w:val="24"/>
          <w:lang w:val="en-GB" w:bidi="en-US"/>
        </w:rPr>
      </w:pPr>
    </w:p>
    <w:p w14:paraId="5EF616FF" w14:textId="6440BAB8" w:rsidR="00A64F7F" w:rsidRPr="00651BBF" w:rsidRDefault="00A64F7F" w:rsidP="00A64F7F">
      <w:pPr>
        <w:spacing w:after="0" w:line="240" w:lineRule="auto"/>
        <w:ind w:left="1080" w:hanging="1080"/>
        <w:jc w:val="both"/>
        <w:rPr>
          <w:rFonts w:ascii="Bookman Old Style" w:eastAsia="Calibri" w:hAnsi="Bookman Old Style" w:cs="Arial"/>
          <w:b/>
          <w:bCs/>
          <w:sz w:val="24"/>
          <w:szCs w:val="24"/>
        </w:rPr>
      </w:pPr>
      <w:r>
        <w:rPr>
          <w:rFonts w:ascii="Bookman Old Style" w:hAnsi="Bookman Old Style"/>
          <w:b/>
          <w:sz w:val="24"/>
        </w:rPr>
        <w:t>1.</w:t>
      </w:r>
      <w:bookmarkStart w:id="9" w:name="_Hlk54279547"/>
      <w:r>
        <w:rPr>
          <w:rFonts w:ascii="Bookman Old Style" w:hAnsi="Bookman Old Style"/>
          <w:b/>
          <w:sz w:val="24"/>
        </w:rPr>
        <w:t>2.5.</w:t>
      </w:r>
      <w:r>
        <w:rPr>
          <w:rFonts w:ascii="Bookman Old Style" w:hAnsi="Bookman Old Style"/>
          <w:b/>
          <w:sz w:val="24"/>
        </w:rPr>
        <w:tab/>
        <w:t xml:space="preserve">RECOMMANDATIONS DESTINÉES À ÊTRE EXAMINÉES PAR </w:t>
      </w:r>
      <w:r w:rsidR="00453342" w:rsidRPr="00651BBF">
        <w:rPr>
          <w:rFonts w:ascii="Bookman Old Style" w:hAnsi="Bookman Old Style"/>
          <w:b/>
          <w:sz w:val="24"/>
        </w:rPr>
        <w:t>L’ASSEMBLÉE PLÉNIÈRE</w:t>
      </w:r>
    </w:p>
    <w:bookmarkEnd w:id="9"/>
    <w:p w14:paraId="21DD1C90" w14:textId="77777777" w:rsidR="00A64F7F" w:rsidRPr="00651BBF" w:rsidRDefault="00A64F7F" w:rsidP="00A64F7F">
      <w:pPr>
        <w:spacing w:after="0" w:line="240" w:lineRule="auto"/>
        <w:jc w:val="both"/>
        <w:rPr>
          <w:rFonts w:ascii="Bookman Old Style" w:eastAsia="Calibri" w:hAnsi="Bookman Old Style" w:cs="Arial"/>
          <w:b/>
          <w:bCs/>
          <w:sz w:val="24"/>
          <w:szCs w:val="24"/>
          <w:lang w:bidi="en-US"/>
        </w:rPr>
      </w:pPr>
    </w:p>
    <w:p w14:paraId="3A9D97AE" w14:textId="191D40AD" w:rsidR="00A64F7F" w:rsidRPr="00651BBF" w:rsidRDefault="00A64F7F" w:rsidP="00A64F7F">
      <w:pPr>
        <w:numPr>
          <w:ilvl w:val="0"/>
          <w:numId w:val="5"/>
        </w:numPr>
        <w:spacing w:after="0" w:line="240" w:lineRule="auto"/>
        <w:contextualSpacing/>
        <w:jc w:val="both"/>
        <w:rPr>
          <w:rFonts w:ascii="Bookman Old Style" w:eastAsia="Calibri" w:hAnsi="Bookman Old Style" w:cs="Arial"/>
          <w:b/>
          <w:bCs/>
          <w:sz w:val="24"/>
          <w:szCs w:val="24"/>
        </w:rPr>
      </w:pPr>
      <w:r w:rsidRPr="00651BBF">
        <w:rPr>
          <w:rFonts w:ascii="Bookman Old Style" w:hAnsi="Bookman Old Style"/>
          <w:b/>
          <w:sz w:val="24"/>
        </w:rPr>
        <w:t>L</w:t>
      </w:r>
      <w:r w:rsidR="00453342" w:rsidRPr="00651BBF">
        <w:rPr>
          <w:rFonts w:ascii="Bookman Old Style" w:hAnsi="Bookman Old Style"/>
          <w:b/>
          <w:sz w:val="24"/>
        </w:rPr>
        <w:t>’Assemblée plénière</w:t>
      </w:r>
      <w:r w:rsidRPr="00651BBF">
        <w:rPr>
          <w:rFonts w:ascii="Bookman Old Style" w:hAnsi="Bookman Old Style"/>
          <w:b/>
          <w:sz w:val="24"/>
        </w:rPr>
        <w:t xml:space="preserve"> est invité</w:t>
      </w:r>
      <w:r w:rsidR="00453342" w:rsidRPr="00651BBF">
        <w:rPr>
          <w:rFonts w:ascii="Bookman Old Style" w:hAnsi="Bookman Old Style"/>
          <w:b/>
          <w:sz w:val="24"/>
        </w:rPr>
        <w:t>e</w:t>
      </w:r>
      <w:r w:rsidRPr="00651BBF">
        <w:rPr>
          <w:rFonts w:ascii="Bookman Old Style" w:hAnsi="Bookman Old Style"/>
          <w:b/>
          <w:sz w:val="24"/>
        </w:rPr>
        <w:t xml:space="preserve"> à examiner et à prendre note de l'état des contributions annuelles obligatoires au 31 octobre 2022, et à apprécier l'engagement des parlements membres à assurer le paiement des contributions.</w:t>
      </w:r>
    </w:p>
    <w:p w14:paraId="28EDC1FF" w14:textId="77777777" w:rsidR="00651BBF" w:rsidRPr="00651BBF" w:rsidRDefault="00651BBF" w:rsidP="00651BBF">
      <w:pPr>
        <w:spacing w:after="0" w:line="240" w:lineRule="auto"/>
        <w:ind w:left="1440"/>
        <w:contextualSpacing/>
        <w:jc w:val="both"/>
        <w:rPr>
          <w:rFonts w:ascii="Bookman Old Style" w:eastAsia="Calibri" w:hAnsi="Bookman Old Style" w:cs="Arial"/>
          <w:b/>
          <w:bCs/>
          <w:sz w:val="24"/>
          <w:szCs w:val="24"/>
        </w:rPr>
      </w:pPr>
    </w:p>
    <w:p w14:paraId="4AD0C01B" w14:textId="5FF4C562" w:rsidR="00A64F7F" w:rsidRPr="00A64F7F" w:rsidRDefault="00A64F7F" w:rsidP="00A64F7F">
      <w:pPr>
        <w:numPr>
          <w:ilvl w:val="0"/>
          <w:numId w:val="5"/>
        </w:numPr>
        <w:spacing w:after="0" w:line="240" w:lineRule="auto"/>
        <w:contextualSpacing/>
        <w:jc w:val="both"/>
        <w:rPr>
          <w:rFonts w:ascii="Bookman Old Style" w:eastAsia="Calibri" w:hAnsi="Bookman Old Style" w:cs="Arial"/>
          <w:b/>
          <w:bCs/>
          <w:sz w:val="24"/>
          <w:szCs w:val="24"/>
        </w:rPr>
      </w:pPr>
      <w:r w:rsidRPr="00651BBF">
        <w:rPr>
          <w:rFonts w:ascii="Bookman Old Style" w:hAnsi="Bookman Old Style"/>
          <w:b/>
          <w:sz w:val="24"/>
        </w:rPr>
        <w:t>L</w:t>
      </w:r>
      <w:r w:rsidR="00453342" w:rsidRPr="00651BBF">
        <w:rPr>
          <w:rFonts w:ascii="Bookman Old Style" w:hAnsi="Bookman Old Style"/>
          <w:b/>
          <w:sz w:val="24"/>
        </w:rPr>
        <w:t>’Assemblée plénière</w:t>
      </w:r>
      <w:r>
        <w:rPr>
          <w:rFonts w:ascii="Bookman Old Style" w:hAnsi="Bookman Old Style"/>
          <w:b/>
          <w:sz w:val="24"/>
        </w:rPr>
        <w:t xml:space="preserve"> est prié</w:t>
      </w:r>
      <w:r w:rsidR="00453342">
        <w:rPr>
          <w:rFonts w:ascii="Bookman Old Style" w:hAnsi="Bookman Old Style"/>
          <w:b/>
          <w:sz w:val="24"/>
        </w:rPr>
        <w:t>e</w:t>
      </w:r>
      <w:r>
        <w:rPr>
          <w:rFonts w:ascii="Bookman Old Style" w:hAnsi="Bookman Old Style"/>
          <w:b/>
          <w:sz w:val="24"/>
        </w:rPr>
        <w:t xml:space="preserve"> d'encourager les Parlements ayant des soldes impayés à les régler en priorité.</w:t>
      </w:r>
    </w:p>
    <w:p w14:paraId="4566BA1A" w14:textId="77777777" w:rsidR="00A64F7F" w:rsidRPr="00F55B99" w:rsidRDefault="00A64F7F" w:rsidP="00A64F7F">
      <w:pPr>
        <w:spacing w:after="0" w:line="240" w:lineRule="auto"/>
        <w:ind w:left="1440"/>
        <w:contextualSpacing/>
        <w:jc w:val="both"/>
        <w:rPr>
          <w:rFonts w:ascii="Bookman Old Style" w:eastAsia="Calibri" w:hAnsi="Bookman Old Style" w:cs="Arial"/>
          <w:b/>
          <w:bCs/>
          <w:sz w:val="24"/>
          <w:szCs w:val="24"/>
          <w:lang w:bidi="en-US"/>
        </w:rPr>
      </w:pPr>
    </w:p>
    <w:p w14:paraId="10FE5FAC" w14:textId="77777777" w:rsidR="00A64F7F" w:rsidRPr="00F55B99" w:rsidRDefault="00A64F7F" w:rsidP="00A64F7F">
      <w:pPr>
        <w:spacing w:after="0" w:line="240" w:lineRule="auto"/>
        <w:ind w:left="1440"/>
        <w:contextualSpacing/>
        <w:jc w:val="both"/>
        <w:rPr>
          <w:rFonts w:ascii="Bookman Old Style" w:eastAsia="Calibri" w:hAnsi="Bookman Old Style" w:cs="Arial"/>
          <w:b/>
          <w:bCs/>
          <w:sz w:val="24"/>
          <w:szCs w:val="24"/>
          <w:lang w:bidi="en-US"/>
        </w:rPr>
      </w:pPr>
    </w:p>
    <w:p w14:paraId="38248ACA" w14:textId="77777777" w:rsidR="00651BBF" w:rsidRDefault="00D2264B" w:rsidP="00A64F7F">
      <w:pPr>
        <w:spacing w:after="0" w:line="240" w:lineRule="auto"/>
        <w:jc w:val="both"/>
        <w:rPr>
          <w:rFonts w:ascii="Bookman Old Style" w:hAnsi="Bookman Old Style"/>
          <w:b/>
          <w:sz w:val="24"/>
          <w:u w:val="single"/>
        </w:rPr>
      </w:pPr>
      <w:r>
        <w:rPr>
          <w:rFonts w:ascii="Bookman Old Style" w:hAnsi="Bookman Old Style"/>
          <w:b/>
          <w:sz w:val="24"/>
        </w:rPr>
        <w:t>2.0.</w:t>
      </w:r>
      <w:r>
        <w:rPr>
          <w:rFonts w:ascii="Bookman Old Style" w:hAnsi="Bookman Old Style"/>
          <w:b/>
          <w:sz w:val="24"/>
        </w:rPr>
        <w:tab/>
      </w:r>
      <w:r>
        <w:rPr>
          <w:rFonts w:ascii="Bookman Old Style" w:hAnsi="Bookman Old Style"/>
          <w:b/>
          <w:sz w:val="24"/>
          <w:u w:val="single"/>
        </w:rPr>
        <w:t xml:space="preserve">RAPPORT SUR LA PERFORMANCE BUDGÉTAIRE À LA DATE DU </w:t>
      </w:r>
    </w:p>
    <w:p w14:paraId="09A9165D" w14:textId="44381FB0" w:rsidR="00A64F7F" w:rsidRPr="00A64F7F" w:rsidRDefault="00D2264B" w:rsidP="00651BBF">
      <w:pPr>
        <w:spacing w:after="0" w:line="240" w:lineRule="auto"/>
        <w:ind w:left="709"/>
        <w:jc w:val="both"/>
        <w:rPr>
          <w:rFonts w:ascii="Bookman Old Style" w:eastAsia="Calibri" w:hAnsi="Bookman Old Style" w:cs="Arial"/>
          <w:b/>
          <w:bCs/>
          <w:sz w:val="24"/>
          <w:szCs w:val="24"/>
        </w:rPr>
      </w:pPr>
      <w:r>
        <w:rPr>
          <w:rFonts w:ascii="Bookman Old Style" w:hAnsi="Bookman Old Style"/>
          <w:b/>
          <w:sz w:val="24"/>
          <w:u w:val="single"/>
        </w:rPr>
        <w:t>30 SEPTEMBRE 2022</w:t>
      </w:r>
    </w:p>
    <w:p w14:paraId="36CBAF33" w14:textId="77777777" w:rsidR="00A64F7F" w:rsidRPr="00F55B99" w:rsidRDefault="00A64F7F" w:rsidP="00A64F7F">
      <w:pPr>
        <w:spacing w:after="0" w:line="240" w:lineRule="auto"/>
        <w:jc w:val="both"/>
        <w:rPr>
          <w:rFonts w:ascii="Bookman Old Style" w:eastAsia="Calibri" w:hAnsi="Bookman Old Style" w:cs="Arial"/>
          <w:bCs/>
          <w:sz w:val="24"/>
          <w:szCs w:val="24"/>
          <w:lang w:bidi="en-US"/>
        </w:rPr>
      </w:pPr>
    </w:p>
    <w:p w14:paraId="3F0D00F5" w14:textId="23FEC12D" w:rsidR="00A64F7F" w:rsidRPr="00A64F7F" w:rsidRDefault="00D2264B" w:rsidP="00A64F7F">
      <w:pPr>
        <w:tabs>
          <w:tab w:val="left" w:pos="851"/>
        </w:tabs>
        <w:spacing w:after="0" w:line="240" w:lineRule="auto"/>
        <w:ind w:left="851" w:hanging="851"/>
        <w:jc w:val="both"/>
        <w:rPr>
          <w:rFonts w:ascii="Bookman Old Style" w:eastAsia="Calibri" w:hAnsi="Bookman Old Style" w:cs="Arial"/>
          <w:b/>
          <w:sz w:val="24"/>
          <w:szCs w:val="24"/>
        </w:rPr>
      </w:pPr>
      <w:r>
        <w:rPr>
          <w:rFonts w:ascii="Bookman Old Style" w:hAnsi="Bookman Old Style"/>
          <w:b/>
          <w:sz w:val="24"/>
        </w:rPr>
        <w:t>2.1.</w:t>
      </w:r>
      <w:r>
        <w:rPr>
          <w:rFonts w:ascii="Bookman Old Style" w:hAnsi="Bookman Old Style"/>
          <w:b/>
          <w:sz w:val="24"/>
        </w:rPr>
        <w:tab/>
        <w:t xml:space="preserve">Mise à jour sur l'impact de la politique visant à optimiser la technologie pour la mise en œuvre des activités </w:t>
      </w:r>
    </w:p>
    <w:p w14:paraId="70EA9124" w14:textId="77777777" w:rsidR="00A64F7F" w:rsidRPr="00F55B99" w:rsidRDefault="00A64F7F" w:rsidP="00A64F7F">
      <w:pPr>
        <w:spacing w:after="0" w:line="240" w:lineRule="auto"/>
        <w:jc w:val="both"/>
        <w:rPr>
          <w:rFonts w:ascii="Bookman Old Style" w:eastAsia="Calibri" w:hAnsi="Bookman Old Style" w:cs="Arial"/>
          <w:b/>
          <w:sz w:val="24"/>
          <w:szCs w:val="24"/>
          <w:lang w:bidi="en-US"/>
        </w:rPr>
      </w:pPr>
    </w:p>
    <w:p w14:paraId="7B6FFDBF" w14:textId="78693C75" w:rsidR="001E1162" w:rsidRPr="00651BBF" w:rsidRDefault="00A64F7F" w:rsidP="00D2264B">
      <w:pPr>
        <w:pStyle w:val="ListParagraph"/>
        <w:numPr>
          <w:ilvl w:val="2"/>
          <w:numId w:val="32"/>
        </w:numPr>
        <w:jc w:val="both"/>
        <w:rPr>
          <w:rFonts w:ascii="Bookman Old Style" w:eastAsia="Calibri" w:hAnsi="Bookman Old Style" w:cs="Arial"/>
          <w:bCs/>
          <w:sz w:val="24"/>
          <w:szCs w:val="24"/>
        </w:rPr>
      </w:pPr>
      <w:r w:rsidRPr="00651BBF">
        <w:rPr>
          <w:rFonts w:ascii="Bookman Old Style" w:hAnsi="Bookman Old Style"/>
          <w:sz w:val="24"/>
        </w:rPr>
        <w:t>L</w:t>
      </w:r>
      <w:r w:rsidR="00AE4D9B" w:rsidRPr="00651BBF">
        <w:rPr>
          <w:rFonts w:ascii="Bookman Old Style" w:hAnsi="Bookman Old Style"/>
          <w:sz w:val="24"/>
        </w:rPr>
        <w:t>’Assemblée plénière</w:t>
      </w:r>
      <w:r>
        <w:rPr>
          <w:rFonts w:ascii="Bookman Old Style" w:hAnsi="Bookman Old Style"/>
          <w:sz w:val="24"/>
        </w:rPr>
        <w:t xml:space="preserve"> se rappellera que les budgets pour les exercices 2021/2022 et 2022/2023 partaient du principe qu'une Assemblée plénière, des réunions du Comité permanent et d'autres réunions se tiendraient de manière virtuelle, à moins que d'autres sources de financement ne soient disponibles. Cela s'explique par la position politique délibérée qui a été adoptée pour gérer les ressources financières limitées en optimisant l'utilisation de la technologie pour faciliter les réunions virtuelles, compte tenu des leçons tirées de la </w:t>
      </w:r>
      <w:r>
        <w:rPr>
          <w:rFonts w:ascii="Bookman Old Style" w:hAnsi="Bookman Old Style"/>
          <w:sz w:val="24"/>
        </w:rPr>
        <w:lastRenderedPageBreak/>
        <w:t>tenue réussie des 47</w:t>
      </w:r>
      <w:r>
        <w:rPr>
          <w:rFonts w:ascii="Bookman Old Style" w:hAnsi="Bookman Old Style"/>
          <w:sz w:val="24"/>
          <w:vertAlign w:val="superscript"/>
        </w:rPr>
        <w:t>e</w:t>
      </w:r>
      <w:r>
        <w:rPr>
          <w:rFonts w:ascii="Bookman Old Style" w:hAnsi="Bookman Old Style"/>
          <w:sz w:val="24"/>
        </w:rPr>
        <w:t xml:space="preserve"> et 48</w:t>
      </w:r>
      <w:r>
        <w:rPr>
          <w:rFonts w:ascii="Bookman Old Style" w:hAnsi="Bookman Old Style"/>
          <w:sz w:val="24"/>
          <w:vertAlign w:val="superscript"/>
        </w:rPr>
        <w:t>e</w:t>
      </w:r>
      <w:r>
        <w:rPr>
          <w:rFonts w:ascii="Bookman Old Style" w:hAnsi="Bookman Old Style"/>
          <w:sz w:val="24"/>
        </w:rPr>
        <w:t xml:space="preserve"> assemblées plénières, et d'autres réunions virtuelles, au plus fort de la pandémie de COVID 19 en 2020. </w:t>
      </w:r>
    </w:p>
    <w:p w14:paraId="4A8ED3FA" w14:textId="77777777" w:rsidR="00651BBF" w:rsidRDefault="00651BBF" w:rsidP="00651BBF">
      <w:pPr>
        <w:pStyle w:val="ListParagraph"/>
        <w:ind w:firstLine="0"/>
        <w:jc w:val="both"/>
        <w:rPr>
          <w:rFonts w:ascii="Bookman Old Style" w:eastAsia="Calibri" w:hAnsi="Bookman Old Style" w:cs="Arial"/>
          <w:bCs/>
          <w:sz w:val="24"/>
          <w:szCs w:val="24"/>
        </w:rPr>
      </w:pPr>
    </w:p>
    <w:p w14:paraId="71CEFF9F" w14:textId="4B3FA544" w:rsidR="00A64F7F" w:rsidRPr="00651BBF" w:rsidRDefault="00A64F7F" w:rsidP="00D2264B">
      <w:pPr>
        <w:pStyle w:val="ListParagraph"/>
        <w:numPr>
          <w:ilvl w:val="2"/>
          <w:numId w:val="32"/>
        </w:numPr>
        <w:jc w:val="both"/>
        <w:rPr>
          <w:rFonts w:ascii="Bookman Old Style" w:eastAsia="Calibri" w:hAnsi="Bookman Old Style" w:cs="Arial"/>
          <w:bCs/>
          <w:sz w:val="24"/>
          <w:szCs w:val="24"/>
        </w:rPr>
      </w:pPr>
      <w:r w:rsidRPr="00651BBF">
        <w:rPr>
          <w:rFonts w:ascii="Bookman Old Style" w:hAnsi="Bookman Old Style"/>
          <w:sz w:val="24"/>
        </w:rPr>
        <w:t>L</w:t>
      </w:r>
      <w:r w:rsidR="00AE4D9B" w:rsidRPr="00651BBF">
        <w:rPr>
          <w:rFonts w:ascii="Bookman Old Style" w:hAnsi="Bookman Old Style"/>
          <w:sz w:val="24"/>
        </w:rPr>
        <w:t>’Assemblée plénière</w:t>
      </w:r>
      <w:r w:rsidRPr="00651BBF">
        <w:rPr>
          <w:rFonts w:ascii="Bookman Old Style" w:hAnsi="Bookman Old Style"/>
          <w:sz w:val="24"/>
        </w:rPr>
        <w:t xml:space="preserve"> est informé</w:t>
      </w:r>
      <w:r w:rsidR="00AE4D9B" w:rsidRPr="00651BBF">
        <w:rPr>
          <w:rFonts w:ascii="Bookman Old Style" w:hAnsi="Bookman Old Style"/>
          <w:sz w:val="24"/>
        </w:rPr>
        <w:t>e</w:t>
      </w:r>
      <w:r w:rsidRPr="00651BBF">
        <w:rPr>
          <w:rFonts w:ascii="Bookman Old Style" w:hAnsi="Bookman Old Style"/>
          <w:sz w:val="24"/>
        </w:rPr>
        <w:t xml:space="preserve"> que </w:t>
      </w:r>
      <w:r w:rsidR="00AE4D9B" w:rsidRPr="00651BBF">
        <w:rPr>
          <w:rFonts w:ascii="Bookman Old Style" w:hAnsi="Bookman Old Style"/>
          <w:sz w:val="24"/>
        </w:rPr>
        <w:t>pour</w:t>
      </w:r>
      <w:r w:rsidRPr="00651BBF">
        <w:rPr>
          <w:rFonts w:ascii="Bookman Old Style" w:hAnsi="Bookman Old Style"/>
          <w:sz w:val="24"/>
        </w:rPr>
        <w:t xml:space="preserve"> la 50</w:t>
      </w:r>
      <w:r w:rsidRPr="00651BBF">
        <w:rPr>
          <w:rFonts w:ascii="Bookman Old Style" w:hAnsi="Bookman Old Style"/>
          <w:sz w:val="24"/>
          <w:vertAlign w:val="superscript"/>
        </w:rPr>
        <w:t>e</w:t>
      </w:r>
      <w:r w:rsidRPr="00651BBF">
        <w:rPr>
          <w:rFonts w:ascii="Bookman Old Style" w:hAnsi="Bookman Old Style"/>
          <w:sz w:val="24"/>
        </w:rPr>
        <w:t xml:space="preserve"> Assemblée plénière </w:t>
      </w:r>
      <w:r w:rsidR="00AE4D9B" w:rsidRPr="00651BBF">
        <w:rPr>
          <w:rFonts w:ascii="Bookman Old Style" w:hAnsi="Bookman Old Style"/>
          <w:sz w:val="24"/>
        </w:rPr>
        <w:t xml:space="preserve">qui </w:t>
      </w:r>
      <w:r w:rsidRPr="00651BBF">
        <w:rPr>
          <w:rFonts w:ascii="Bookman Old Style" w:hAnsi="Bookman Old Style"/>
          <w:sz w:val="24"/>
        </w:rPr>
        <w:t xml:space="preserve">s'est tenue physiquement à Lilongwe, au Malawi, les parlements et les membres qui n'ont pas pu y </w:t>
      </w:r>
      <w:r w:rsidR="00AE4D9B" w:rsidRPr="00651BBF">
        <w:rPr>
          <w:rFonts w:ascii="Bookman Old Style" w:hAnsi="Bookman Old Style"/>
          <w:sz w:val="24"/>
        </w:rPr>
        <w:t>aller</w:t>
      </w:r>
      <w:r w:rsidRPr="00651BBF">
        <w:rPr>
          <w:rFonts w:ascii="Bookman Old Style" w:hAnsi="Bookman Old Style"/>
          <w:sz w:val="24"/>
        </w:rPr>
        <w:t xml:space="preserve"> physiquement ont pu participer virtuellement. Ce système hybride garantit que les limitations des ressources financières n'empêchent pas nécessairement les membres de participer à l'Assemblée plénière et/ou à d'autres réunions statutaires.  </w:t>
      </w:r>
    </w:p>
    <w:p w14:paraId="5AE1FAF7" w14:textId="77777777" w:rsidR="00651BBF" w:rsidRPr="00651BBF" w:rsidRDefault="00651BBF" w:rsidP="00651BBF">
      <w:pPr>
        <w:jc w:val="both"/>
        <w:rPr>
          <w:rFonts w:ascii="Bookman Old Style" w:eastAsia="Calibri" w:hAnsi="Bookman Old Style" w:cs="Arial"/>
          <w:bCs/>
          <w:sz w:val="24"/>
          <w:szCs w:val="24"/>
        </w:rPr>
      </w:pPr>
    </w:p>
    <w:p w14:paraId="7782A4D1" w14:textId="281EA780" w:rsidR="00326853" w:rsidRPr="00651BBF" w:rsidRDefault="00326853" w:rsidP="00D2264B">
      <w:pPr>
        <w:pStyle w:val="ListParagraph"/>
        <w:numPr>
          <w:ilvl w:val="2"/>
          <w:numId w:val="32"/>
        </w:numPr>
        <w:jc w:val="both"/>
        <w:rPr>
          <w:rFonts w:ascii="Bookman Old Style" w:eastAsia="Calibri" w:hAnsi="Bookman Old Style" w:cs="Arial"/>
          <w:bCs/>
          <w:sz w:val="24"/>
          <w:szCs w:val="24"/>
        </w:rPr>
      </w:pPr>
      <w:r w:rsidRPr="00651BBF">
        <w:rPr>
          <w:rFonts w:ascii="Bookman Old Style" w:hAnsi="Bookman Old Style"/>
          <w:sz w:val="24"/>
        </w:rPr>
        <w:t>L</w:t>
      </w:r>
      <w:r w:rsidR="00AE4D9B" w:rsidRPr="00651BBF">
        <w:rPr>
          <w:rFonts w:ascii="Bookman Old Style" w:hAnsi="Bookman Old Style"/>
          <w:sz w:val="24"/>
        </w:rPr>
        <w:t>’Assemblée plénière</w:t>
      </w:r>
      <w:r>
        <w:rPr>
          <w:rFonts w:ascii="Bookman Old Style" w:hAnsi="Bookman Old Style"/>
          <w:sz w:val="24"/>
        </w:rPr>
        <w:t xml:space="preserve"> est également informé</w:t>
      </w:r>
      <w:r w:rsidR="00AE4D9B">
        <w:rPr>
          <w:rFonts w:ascii="Bookman Old Style" w:hAnsi="Bookman Old Style"/>
          <w:sz w:val="24"/>
        </w:rPr>
        <w:t>e</w:t>
      </w:r>
      <w:r>
        <w:rPr>
          <w:rFonts w:ascii="Bookman Old Style" w:hAnsi="Bookman Old Style"/>
          <w:sz w:val="24"/>
        </w:rPr>
        <w:t xml:space="preserve"> que </w:t>
      </w:r>
      <w:r w:rsidR="00AE4D9B">
        <w:rPr>
          <w:rFonts w:ascii="Bookman Old Style" w:hAnsi="Bookman Old Style"/>
          <w:sz w:val="24"/>
        </w:rPr>
        <w:t>le FP-SADC</w:t>
      </w:r>
      <w:r>
        <w:rPr>
          <w:rFonts w:ascii="Bookman Old Style" w:hAnsi="Bookman Old Style"/>
          <w:sz w:val="24"/>
        </w:rPr>
        <w:t xml:space="preserve"> a continué à organiser diverses réunions et activités de renforcement des capacités par des moyens virtuels. En outre, certaines réunions ont eu lieu en face à face, conformément à divers accords avec des donateurs et des partenaires de coopération dont les budgets le prévoient.</w:t>
      </w:r>
    </w:p>
    <w:p w14:paraId="52519825" w14:textId="77777777" w:rsidR="00651BBF" w:rsidRPr="00651BBF" w:rsidRDefault="00651BBF" w:rsidP="00651BBF">
      <w:pPr>
        <w:jc w:val="both"/>
        <w:rPr>
          <w:rFonts w:ascii="Bookman Old Style" w:eastAsia="Calibri" w:hAnsi="Bookman Old Style" w:cs="Arial"/>
          <w:bCs/>
          <w:sz w:val="24"/>
          <w:szCs w:val="24"/>
        </w:rPr>
      </w:pPr>
    </w:p>
    <w:p w14:paraId="4BDC6FD0" w14:textId="2FBD3EEA" w:rsidR="00446FFF" w:rsidRPr="00FF0FF7" w:rsidRDefault="00446FFF" w:rsidP="00AE4D9B">
      <w:pPr>
        <w:pStyle w:val="ListParagraph"/>
        <w:ind w:firstLine="0"/>
        <w:jc w:val="both"/>
        <w:rPr>
          <w:rFonts w:ascii="Bookman Old Style" w:eastAsia="Calibri" w:hAnsi="Bookman Old Style" w:cs="Arial"/>
          <w:bCs/>
          <w:i/>
          <w:iCs/>
          <w:sz w:val="24"/>
          <w:szCs w:val="24"/>
        </w:rPr>
      </w:pPr>
      <w:r>
        <w:rPr>
          <w:rFonts w:ascii="Bookman Old Style" w:hAnsi="Bookman Old Style"/>
          <w:i/>
          <w:color w:val="000000"/>
          <w:sz w:val="23"/>
          <w:shd w:val="clear" w:color="auto" w:fill="FFFFFF"/>
        </w:rPr>
        <w:t xml:space="preserve">Dans le même ordre d'idées, il est intéressant pour </w:t>
      </w:r>
      <w:r w:rsidR="00AE4D9B" w:rsidRPr="00651BBF">
        <w:rPr>
          <w:rFonts w:ascii="Bookman Old Style" w:hAnsi="Bookman Old Style"/>
          <w:i/>
          <w:color w:val="000000"/>
          <w:sz w:val="23"/>
          <w:shd w:val="clear" w:color="auto" w:fill="FFFFFF"/>
        </w:rPr>
        <w:t>l’Assemblée plénière</w:t>
      </w:r>
      <w:r>
        <w:rPr>
          <w:rFonts w:ascii="Bookman Old Style" w:hAnsi="Bookman Old Style"/>
          <w:i/>
          <w:color w:val="000000"/>
          <w:sz w:val="23"/>
          <w:shd w:val="clear" w:color="auto" w:fill="FFFFFF"/>
        </w:rPr>
        <w:t xml:space="preserve"> de noter les expériences suivantes : si la rentabilité et la possibilité d'accueillir des réunions nombreuses et plus fréquentes ont été avantageuses pour l'organisation en termes d'économies, on a également constaté une baisse notable des interactions et de la qualité spontanée des contributions des participants par rapport à l'époque où elle était physique. L'institution a également enregistré quelques défaillances dans les connexions internet de certains participants. En conséquence, certains membres ont demandé une révision du mode de fonctionnement après Covid-19, les réunions physiques étant le mode privilégié</w:t>
      </w:r>
      <w:r w:rsidR="00AE4D9B">
        <w:rPr>
          <w:rFonts w:ascii="Bookman Old Style" w:hAnsi="Bookman Old Style"/>
          <w:i/>
          <w:color w:val="000000"/>
          <w:sz w:val="23"/>
          <w:shd w:val="clear" w:color="auto" w:fill="FFFFFF"/>
        </w:rPr>
        <w:t>.</w:t>
      </w:r>
    </w:p>
    <w:p w14:paraId="6E2E882B" w14:textId="50E792C8" w:rsidR="00A64F7F" w:rsidRPr="00F55B99" w:rsidRDefault="00A64F7F" w:rsidP="00A64F7F">
      <w:pPr>
        <w:spacing w:after="0" w:line="240" w:lineRule="auto"/>
        <w:ind w:firstLine="360"/>
        <w:jc w:val="both"/>
        <w:rPr>
          <w:rFonts w:ascii="Bookman Old Style" w:eastAsia="Calibri" w:hAnsi="Bookman Old Style" w:cs="Arial"/>
          <w:bCs/>
          <w:sz w:val="24"/>
          <w:szCs w:val="24"/>
          <w:lang w:bidi="en-US"/>
        </w:rPr>
      </w:pPr>
    </w:p>
    <w:p w14:paraId="4120EC20" w14:textId="77777777" w:rsidR="00FF0FF7" w:rsidRPr="00F55B99" w:rsidRDefault="00FF0FF7" w:rsidP="00A64F7F">
      <w:pPr>
        <w:spacing w:after="0" w:line="240" w:lineRule="auto"/>
        <w:ind w:firstLine="360"/>
        <w:jc w:val="both"/>
        <w:rPr>
          <w:rFonts w:ascii="Bookman Old Style" w:eastAsia="Calibri" w:hAnsi="Bookman Old Style" w:cs="Arial"/>
          <w:bCs/>
          <w:sz w:val="24"/>
          <w:szCs w:val="24"/>
          <w:lang w:bidi="en-US"/>
        </w:rPr>
      </w:pPr>
    </w:p>
    <w:p w14:paraId="26D043AE" w14:textId="32255A55" w:rsidR="00A64F7F" w:rsidRPr="00651BBF" w:rsidRDefault="00A64F7F" w:rsidP="00777092">
      <w:pPr>
        <w:pStyle w:val="ListParagraph"/>
        <w:numPr>
          <w:ilvl w:val="2"/>
          <w:numId w:val="32"/>
        </w:numPr>
        <w:jc w:val="both"/>
        <w:rPr>
          <w:rFonts w:ascii="Bookman Old Style" w:eastAsia="Calibri" w:hAnsi="Bookman Old Style" w:cs="Arial"/>
          <w:b/>
          <w:bCs/>
          <w:sz w:val="24"/>
          <w:szCs w:val="24"/>
        </w:rPr>
      </w:pPr>
      <w:r w:rsidRPr="00651BBF">
        <w:rPr>
          <w:rFonts w:ascii="Bookman Old Style" w:hAnsi="Bookman Old Style"/>
          <w:b/>
          <w:sz w:val="24"/>
        </w:rPr>
        <w:t xml:space="preserve">RECOMMANDATIONS DESTINÉES À ÊTRE EXAMINÉES PAR </w:t>
      </w:r>
      <w:r w:rsidR="00AE4D9B" w:rsidRPr="00651BBF">
        <w:rPr>
          <w:rFonts w:ascii="Bookman Old Style" w:hAnsi="Bookman Old Style"/>
          <w:b/>
          <w:sz w:val="24"/>
        </w:rPr>
        <w:t>L’ASSEMBLÉE PLÉNIÈRE</w:t>
      </w:r>
    </w:p>
    <w:p w14:paraId="1EC13E48" w14:textId="77777777" w:rsidR="00A64F7F" w:rsidRPr="00651BBF" w:rsidRDefault="00A64F7F" w:rsidP="00A64F7F">
      <w:pPr>
        <w:spacing w:after="0" w:line="240" w:lineRule="auto"/>
        <w:ind w:left="360"/>
        <w:jc w:val="both"/>
        <w:rPr>
          <w:rFonts w:ascii="Bookman Old Style" w:eastAsia="Calibri" w:hAnsi="Bookman Old Style" w:cs="Arial"/>
          <w:b/>
          <w:bCs/>
          <w:sz w:val="24"/>
          <w:szCs w:val="24"/>
          <w:lang w:bidi="en-US"/>
        </w:rPr>
      </w:pPr>
    </w:p>
    <w:p w14:paraId="767F2259" w14:textId="04D5B976" w:rsidR="00A64F7F" w:rsidRPr="00A64F7F" w:rsidRDefault="00A64F7F" w:rsidP="00651BBF">
      <w:pPr>
        <w:spacing w:after="0" w:line="240" w:lineRule="auto"/>
        <w:ind w:left="709"/>
        <w:jc w:val="both"/>
        <w:rPr>
          <w:rFonts w:ascii="Bookman Old Style" w:eastAsia="Calibri" w:hAnsi="Bookman Old Style" w:cs="Arial"/>
          <w:b/>
          <w:bCs/>
          <w:sz w:val="24"/>
          <w:szCs w:val="24"/>
        </w:rPr>
      </w:pPr>
      <w:r w:rsidRPr="00651BBF">
        <w:rPr>
          <w:rFonts w:ascii="Bookman Old Style" w:hAnsi="Bookman Old Style"/>
          <w:b/>
          <w:sz w:val="24"/>
        </w:rPr>
        <w:t>L</w:t>
      </w:r>
      <w:r w:rsidR="00AE4D9B" w:rsidRPr="00651BBF">
        <w:rPr>
          <w:rFonts w:ascii="Bookman Old Style" w:hAnsi="Bookman Old Style"/>
          <w:b/>
          <w:sz w:val="24"/>
        </w:rPr>
        <w:t>’Assemblée plénière</w:t>
      </w:r>
      <w:r w:rsidRPr="00651BBF">
        <w:rPr>
          <w:rFonts w:ascii="Bookman Old Style" w:hAnsi="Bookman Old Style"/>
          <w:b/>
          <w:sz w:val="24"/>
        </w:rPr>
        <w:t xml:space="preserve"> est invité</w:t>
      </w:r>
      <w:r w:rsidR="00AE4D9B" w:rsidRPr="00651BBF">
        <w:rPr>
          <w:rFonts w:ascii="Bookman Old Style" w:hAnsi="Bookman Old Style"/>
          <w:b/>
          <w:sz w:val="24"/>
        </w:rPr>
        <w:t>e</w:t>
      </w:r>
      <w:r w:rsidRPr="00651BBF">
        <w:rPr>
          <w:rFonts w:ascii="Bookman Old Style" w:hAnsi="Bookman Old Style"/>
          <w:b/>
          <w:sz w:val="24"/>
        </w:rPr>
        <w:t xml:space="preserve"> à prendre note des développements ci-dessus.</w:t>
      </w:r>
      <w:r>
        <w:rPr>
          <w:rFonts w:ascii="Bookman Old Style" w:hAnsi="Bookman Old Style"/>
          <w:b/>
          <w:sz w:val="24"/>
        </w:rPr>
        <w:t xml:space="preserve"> </w:t>
      </w:r>
    </w:p>
    <w:p w14:paraId="3E956A2B" w14:textId="77777777" w:rsidR="00A64F7F" w:rsidRPr="00F55B99" w:rsidRDefault="00A64F7F" w:rsidP="00A64F7F">
      <w:pPr>
        <w:spacing w:after="0" w:line="240" w:lineRule="auto"/>
        <w:jc w:val="both"/>
        <w:rPr>
          <w:rFonts w:ascii="Bookman Old Style" w:eastAsia="Calibri" w:hAnsi="Bookman Old Style" w:cs="Arial"/>
          <w:b/>
          <w:color w:val="FF0000"/>
          <w:sz w:val="24"/>
          <w:szCs w:val="24"/>
          <w:lang w:bidi="en-US"/>
        </w:rPr>
      </w:pPr>
    </w:p>
    <w:p w14:paraId="616C259B" w14:textId="77777777" w:rsidR="00777092" w:rsidRPr="00F55B99" w:rsidRDefault="00777092" w:rsidP="00A64F7F">
      <w:pPr>
        <w:spacing w:after="0" w:line="240" w:lineRule="auto"/>
        <w:jc w:val="both"/>
        <w:rPr>
          <w:rFonts w:ascii="Bookman Old Style" w:eastAsia="Calibri" w:hAnsi="Bookman Old Style" w:cs="Arial"/>
          <w:b/>
          <w:color w:val="FF0000"/>
          <w:sz w:val="24"/>
          <w:szCs w:val="24"/>
          <w:lang w:bidi="en-US"/>
        </w:rPr>
      </w:pPr>
    </w:p>
    <w:p w14:paraId="6A5FFBD8" w14:textId="5CBBFD63" w:rsidR="00A64F7F" w:rsidRPr="00A64F7F" w:rsidRDefault="00D2264B" w:rsidP="00651BBF">
      <w:pPr>
        <w:spacing w:after="0" w:line="240" w:lineRule="auto"/>
        <w:ind w:left="709" w:hanging="709"/>
        <w:jc w:val="both"/>
        <w:rPr>
          <w:rFonts w:ascii="Bookman Old Style" w:eastAsia="Calibri" w:hAnsi="Bookman Old Style" w:cs="Arial"/>
          <w:b/>
          <w:sz w:val="24"/>
          <w:szCs w:val="24"/>
        </w:rPr>
      </w:pPr>
      <w:r>
        <w:rPr>
          <w:rFonts w:ascii="Bookman Old Style" w:hAnsi="Bookman Old Style"/>
          <w:b/>
          <w:sz w:val="24"/>
        </w:rPr>
        <w:t>2.2.</w:t>
      </w:r>
      <w:r>
        <w:rPr>
          <w:rFonts w:ascii="Bookman Old Style" w:hAnsi="Bookman Old Style"/>
          <w:b/>
          <w:sz w:val="24"/>
        </w:rPr>
        <w:tab/>
        <w:t xml:space="preserve">RAPPORT SUR LES ÉCARTS BUDGÉTAIRES EN DATE DU 30 SEPTEMBRE 2022 (RECETTES) </w:t>
      </w:r>
    </w:p>
    <w:p w14:paraId="46590812" w14:textId="77777777" w:rsidR="00E82D8A" w:rsidRPr="00F55B99" w:rsidRDefault="00E82D8A" w:rsidP="00777092">
      <w:pPr>
        <w:spacing w:after="0" w:line="240" w:lineRule="auto"/>
        <w:jc w:val="both"/>
        <w:rPr>
          <w:rFonts w:ascii="Bookman Old Style" w:eastAsia="Calibri" w:hAnsi="Bookman Old Style" w:cs="Arial"/>
          <w:bCs/>
          <w:sz w:val="24"/>
          <w:szCs w:val="24"/>
          <w:lang w:bidi="en-US"/>
        </w:rPr>
      </w:pPr>
    </w:p>
    <w:p w14:paraId="19EAE193" w14:textId="109A1C11" w:rsidR="00651BBF" w:rsidRDefault="00E82D8A" w:rsidP="00651BBF">
      <w:pPr>
        <w:spacing w:after="0" w:line="240" w:lineRule="auto"/>
        <w:ind w:left="851" w:hanging="851"/>
        <w:jc w:val="both"/>
        <w:rPr>
          <w:rFonts w:ascii="Bookman Old Style" w:hAnsi="Bookman Old Style"/>
          <w:b/>
          <w:sz w:val="24"/>
        </w:rPr>
      </w:pPr>
      <w:r w:rsidRPr="00651BBF">
        <w:rPr>
          <w:rFonts w:ascii="Bookman Old Style" w:hAnsi="Bookman Old Style"/>
          <w:b/>
          <w:bCs/>
          <w:sz w:val="24"/>
        </w:rPr>
        <w:t>2.2.1.</w:t>
      </w:r>
      <w:r>
        <w:rPr>
          <w:rFonts w:ascii="Bookman Old Style" w:hAnsi="Bookman Old Style"/>
          <w:sz w:val="24"/>
        </w:rPr>
        <w:tab/>
      </w:r>
      <w:r>
        <w:rPr>
          <w:rFonts w:ascii="Bookman Old Style" w:hAnsi="Bookman Old Style"/>
          <w:b/>
          <w:sz w:val="24"/>
        </w:rPr>
        <w:t>Contexte</w:t>
      </w:r>
    </w:p>
    <w:p w14:paraId="67FD6898" w14:textId="77777777" w:rsidR="00651BBF" w:rsidRPr="00651BBF" w:rsidRDefault="00651BBF" w:rsidP="00777092">
      <w:pPr>
        <w:spacing w:after="0" w:line="240" w:lineRule="auto"/>
        <w:jc w:val="both"/>
        <w:rPr>
          <w:rFonts w:ascii="Bookman Old Style" w:hAnsi="Bookman Old Style"/>
          <w:b/>
          <w:sz w:val="24"/>
        </w:rPr>
      </w:pPr>
    </w:p>
    <w:p w14:paraId="5F74F350" w14:textId="77777777" w:rsidR="00A64F7F" w:rsidRPr="00A64F7F" w:rsidRDefault="00A64F7F" w:rsidP="00651BBF">
      <w:pPr>
        <w:spacing w:after="0" w:line="240" w:lineRule="auto"/>
        <w:ind w:left="851"/>
        <w:contextualSpacing/>
        <w:jc w:val="both"/>
        <w:rPr>
          <w:rFonts w:ascii="Bookman Old Style" w:eastAsia="Calibri" w:hAnsi="Bookman Old Style" w:cs="Arial"/>
          <w:sz w:val="24"/>
          <w:szCs w:val="24"/>
        </w:rPr>
      </w:pPr>
      <w:r>
        <w:rPr>
          <w:rFonts w:ascii="Bookman Old Style" w:hAnsi="Bookman Old Style"/>
          <w:sz w:val="24"/>
        </w:rPr>
        <w:t xml:space="preserve">Le présent rapport sur les écarts budgétaires ne comprend pas les recettes et les dépenses budgétisées financées par les donateurs, mais se concentre sur les recettes et les dépenses budgétisées provenant des contributions obligatoires des membres et des autres revenus de la SADC PF. Les autres revenus comprennent les intérêts perçus et les frais administratifs perçus dans le cadre du projet Sida.  Dans le budget approuvé pour l'exercice financier, le montant budgétisé des </w:t>
      </w:r>
      <w:r>
        <w:rPr>
          <w:rFonts w:ascii="Bookman Old Style" w:hAnsi="Bookman Old Style"/>
          <w:sz w:val="24"/>
        </w:rPr>
        <w:lastRenderedPageBreak/>
        <w:t>fonds des bailleurs de fonds de 23 399 340 dollars namibiens correspond à une dépense totale budgétisée de 23 399 340 dollars namibiens. Les rapports de responsabilité des fonds pour les fonds reçus des donateurs seront présentés dans une section séparée de ce rapport.</w:t>
      </w:r>
    </w:p>
    <w:p w14:paraId="24A72AA4" w14:textId="77777777" w:rsidR="00A64F7F" w:rsidRPr="00F55B99" w:rsidRDefault="00A64F7F" w:rsidP="00A64F7F">
      <w:pPr>
        <w:spacing w:after="0" w:line="240" w:lineRule="auto"/>
        <w:ind w:left="1440" w:hanging="1440"/>
        <w:jc w:val="both"/>
        <w:rPr>
          <w:rFonts w:ascii="Bookman Old Style" w:eastAsia="Calibri" w:hAnsi="Bookman Old Style" w:cs="Arial"/>
          <w:b/>
          <w:sz w:val="24"/>
          <w:szCs w:val="24"/>
          <w:lang w:bidi="en-US"/>
        </w:rPr>
      </w:pPr>
    </w:p>
    <w:p w14:paraId="302735E4" w14:textId="77777777" w:rsidR="003960C9" w:rsidRDefault="0003326C" w:rsidP="00651BBF">
      <w:pPr>
        <w:spacing w:after="0" w:line="240" w:lineRule="auto"/>
        <w:ind w:left="851" w:hanging="851"/>
        <w:jc w:val="both"/>
        <w:rPr>
          <w:rFonts w:ascii="Bookman Old Style" w:hAnsi="Bookman Old Style"/>
          <w:sz w:val="24"/>
        </w:rPr>
      </w:pPr>
      <w:r>
        <w:rPr>
          <w:rFonts w:ascii="Bookman Old Style" w:hAnsi="Bookman Old Style"/>
          <w:sz w:val="24"/>
        </w:rPr>
        <w:t>2.2.2.</w:t>
      </w:r>
      <w:r>
        <w:rPr>
          <w:rFonts w:ascii="Bookman Old Style" w:hAnsi="Bookman Old Style"/>
          <w:sz w:val="24"/>
        </w:rPr>
        <w:tab/>
        <w:t>Les recettes totales budgétées pour le budget 2022/2023 sont de $N 25 541 154. Un montant total supplémentaire de N $ 504 000 N (28 800 $ US) a été engagé par six parlements comme contribution aux élections en Angola qui ont eu lieu en septembre 2022.</w:t>
      </w:r>
    </w:p>
    <w:p w14:paraId="7D1721DE" w14:textId="77777777" w:rsidR="00651BBF" w:rsidRDefault="00651BBF" w:rsidP="00651BBF">
      <w:pPr>
        <w:spacing w:after="0" w:line="240" w:lineRule="auto"/>
        <w:ind w:left="851" w:hanging="851"/>
        <w:jc w:val="both"/>
        <w:rPr>
          <w:rFonts w:ascii="Bookman Old Style" w:eastAsia="Calibri" w:hAnsi="Bookman Old Style" w:cs="Arial"/>
          <w:bCs/>
          <w:sz w:val="24"/>
          <w:szCs w:val="24"/>
        </w:rPr>
      </w:pPr>
    </w:p>
    <w:p w14:paraId="0497473C" w14:textId="3D56D3BE" w:rsidR="00703C23" w:rsidRDefault="00346671" w:rsidP="00651BBF">
      <w:pPr>
        <w:spacing w:after="0" w:line="240" w:lineRule="auto"/>
        <w:ind w:left="851"/>
        <w:jc w:val="both"/>
        <w:rPr>
          <w:rFonts w:ascii="Bookman Old Style" w:eastAsia="Calibri" w:hAnsi="Bookman Old Style" w:cs="Arial"/>
          <w:bCs/>
          <w:sz w:val="24"/>
          <w:szCs w:val="24"/>
        </w:rPr>
      </w:pPr>
      <w:r>
        <w:rPr>
          <w:rFonts w:ascii="Bookman Old Style" w:hAnsi="Bookman Old Style"/>
          <w:sz w:val="24"/>
        </w:rPr>
        <w:t>Conformément à l'approbation de la 51</w:t>
      </w:r>
      <w:r>
        <w:rPr>
          <w:rFonts w:ascii="Bookman Old Style" w:hAnsi="Bookman Old Style"/>
          <w:sz w:val="24"/>
          <w:vertAlign w:val="superscript"/>
        </w:rPr>
        <w:t>e</w:t>
      </w:r>
      <w:r>
        <w:rPr>
          <w:rFonts w:ascii="Bookman Old Style" w:hAnsi="Bookman Old Style"/>
          <w:sz w:val="24"/>
        </w:rPr>
        <w:t xml:space="preserve"> Assemblée plénière, un montant de N$ 473 000 a été reporté du budget d'investissement de l'année précédente, les fonds n'ayant pas été dépensés en raison de la non-disponibilité des stocks </w:t>
      </w:r>
      <w:proofErr w:type="gramStart"/>
      <w:r>
        <w:rPr>
          <w:rFonts w:ascii="Bookman Old Style" w:hAnsi="Bookman Old Style"/>
          <w:sz w:val="24"/>
        </w:rPr>
        <w:t>suite aux</w:t>
      </w:r>
      <w:proofErr w:type="gramEnd"/>
      <w:r>
        <w:rPr>
          <w:rFonts w:ascii="Bookman Old Style" w:hAnsi="Bookman Old Style"/>
          <w:sz w:val="24"/>
        </w:rPr>
        <w:t xml:space="preserve"> restrictions liées à COVID19. En outre, le solde de N$ 228 000 de la ligne budgétaire pour l'observation des élections de l'année précédente a été utilisé pour les élections en Angola en septembre 2022. Cela a porté les recettes totales attendues à N$ 26 746 154. La majeure partie des recettes provient des contributions obligatoires annuelles, qui s'élèvent à 21 148 050 dollars namibiens. Ceci exclut le financement des bailleurs de fonds qui est présenté séparément. Les détails figurent dans le tableau ci-dessous.</w:t>
      </w:r>
    </w:p>
    <w:p w14:paraId="6B4B53CD" w14:textId="77777777" w:rsidR="00703C23" w:rsidRPr="00F55B99" w:rsidRDefault="00703C23" w:rsidP="00A64F7F">
      <w:pPr>
        <w:spacing w:after="0" w:line="240" w:lineRule="auto"/>
        <w:ind w:left="1440" w:hanging="1440"/>
        <w:jc w:val="both"/>
        <w:rPr>
          <w:rFonts w:ascii="Bookman Old Style" w:eastAsia="Calibri" w:hAnsi="Bookman Old Style" w:cs="Arial"/>
          <w:bCs/>
          <w:sz w:val="24"/>
          <w:szCs w:val="24"/>
          <w:lang w:bidi="en-US"/>
        </w:rPr>
      </w:pPr>
    </w:p>
    <w:p w14:paraId="774C0C42" w14:textId="6F794D0F" w:rsidR="00003793" w:rsidRDefault="00703C23" w:rsidP="00651BBF">
      <w:pPr>
        <w:spacing w:after="0" w:line="240" w:lineRule="auto"/>
        <w:ind w:left="851" w:hanging="851"/>
        <w:jc w:val="both"/>
        <w:rPr>
          <w:rFonts w:ascii="Bookman Old Style" w:eastAsia="Calibri" w:hAnsi="Bookman Old Style" w:cs="Arial"/>
          <w:bCs/>
          <w:sz w:val="24"/>
          <w:szCs w:val="24"/>
        </w:rPr>
      </w:pPr>
      <w:r>
        <w:rPr>
          <w:rFonts w:ascii="Bookman Old Style" w:hAnsi="Bookman Old Style"/>
          <w:sz w:val="24"/>
        </w:rPr>
        <w:t>2.2.3.</w:t>
      </w:r>
      <w:r>
        <w:rPr>
          <w:rFonts w:ascii="Bookman Old Style" w:hAnsi="Bookman Old Style"/>
          <w:sz w:val="24"/>
        </w:rPr>
        <w:tab/>
        <w:t>A la date du 30 septembre 2022, un montant total de N$15 439 404 a été reçu, ou alloué selon le cas, représentant 58%. Les 42% restants devraient être reçus avant la fin de l'année.</w:t>
      </w:r>
    </w:p>
    <w:p w14:paraId="7795B296" w14:textId="77777777" w:rsidR="001D236C" w:rsidRPr="00F55B99" w:rsidRDefault="001D236C" w:rsidP="00A64F7F">
      <w:pPr>
        <w:spacing w:after="0" w:line="240" w:lineRule="auto"/>
        <w:ind w:left="1440" w:hanging="1440"/>
        <w:jc w:val="both"/>
        <w:rPr>
          <w:rFonts w:ascii="Bookman Old Style" w:eastAsia="Calibri" w:hAnsi="Bookman Old Style" w:cs="Arial"/>
          <w:bCs/>
          <w:sz w:val="24"/>
          <w:szCs w:val="24"/>
          <w:lang w:bidi="en-US"/>
        </w:rPr>
      </w:pPr>
    </w:p>
    <w:p w14:paraId="4757F1C4" w14:textId="5C236BA9" w:rsidR="00C52BB6" w:rsidRDefault="00C52BB6" w:rsidP="00651BBF">
      <w:pPr>
        <w:spacing w:after="0" w:line="240" w:lineRule="auto"/>
        <w:ind w:left="851" w:hanging="851"/>
        <w:jc w:val="both"/>
        <w:rPr>
          <w:rFonts w:ascii="Bookman Old Style" w:eastAsia="Calibri" w:hAnsi="Bookman Old Style" w:cs="Arial"/>
          <w:bCs/>
          <w:sz w:val="24"/>
          <w:szCs w:val="24"/>
        </w:rPr>
      </w:pPr>
      <w:r>
        <w:rPr>
          <w:rFonts w:ascii="Bookman Old Style" w:hAnsi="Bookman Old Style"/>
          <w:sz w:val="24"/>
        </w:rPr>
        <w:t>2.2.4.</w:t>
      </w:r>
      <w:r>
        <w:rPr>
          <w:rFonts w:ascii="Bookman Old Style" w:hAnsi="Bookman Old Style"/>
          <w:sz w:val="24"/>
        </w:rPr>
        <w:tab/>
        <w:t>Les intérêts perçus ont dépassé de 2 % le montant prévu au budget. Sur la base de la tendance au 30 septembre 2022, il est prévu que les intérêts perçus seront environ le double du montant budgété en raison de l'investissement de fonds qui ne sont pas immédiatement nécessaires.</w:t>
      </w:r>
    </w:p>
    <w:p w14:paraId="55E61CCB" w14:textId="49175E44" w:rsidR="00495A1D" w:rsidRPr="00F55B99" w:rsidRDefault="00495A1D" w:rsidP="00A64F7F">
      <w:pPr>
        <w:spacing w:after="0" w:line="240" w:lineRule="auto"/>
        <w:ind w:left="1440" w:hanging="1440"/>
        <w:jc w:val="both"/>
        <w:rPr>
          <w:rFonts w:ascii="Bookman Old Style" w:eastAsia="Calibri" w:hAnsi="Bookman Old Style" w:cs="Arial"/>
          <w:bCs/>
          <w:sz w:val="24"/>
          <w:szCs w:val="24"/>
          <w:lang w:bidi="en-US"/>
        </w:rPr>
      </w:pPr>
    </w:p>
    <w:p w14:paraId="20883B09" w14:textId="50C65CC3" w:rsidR="007C12FB" w:rsidRDefault="007C12FB" w:rsidP="00651BBF">
      <w:pPr>
        <w:spacing w:after="0" w:line="240" w:lineRule="auto"/>
        <w:ind w:left="851" w:hanging="851"/>
        <w:jc w:val="both"/>
        <w:rPr>
          <w:rFonts w:ascii="Bookman Old Style" w:eastAsia="Calibri" w:hAnsi="Bookman Old Style" w:cs="Arial"/>
          <w:bCs/>
          <w:sz w:val="24"/>
          <w:szCs w:val="24"/>
        </w:rPr>
      </w:pPr>
      <w:r>
        <w:rPr>
          <w:rFonts w:ascii="Bookman Old Style" w:hAnsi="Bookman Old Style"/>
          <w:sz w:val="24"/>
        </w:rPr>
        <w:t>2.2.5.</w:t>
      </w:r>
      <w:r>
        <w:rPr>
          <w:rFonts w:ascii="Bookman Old Style" w:hAnsi="Bookman Old Style"/>
          <w:sz w:val="24"/>
        </w:rPr>
        <w:tab/>
        <w:t>Un écart négatif indique le montant/pourcentage restant à recevoir. Par exemple, 43 % des contributions des membres n'ont pas encore été reçues.</w:t>
      </w:r>
    </w:p>
    <w:p w14:paraId="64E18B91" w14:textId="77777777" w:rsidR="00C513B9" w:rsidRPr="00F55B99" w:rsidRDefault="00C513B9" w:rsidP="00A64F7F">
      <w:pPr>
        <w:spacing w:after="0" w:line="240" w:lineRule="auto"/>
        <w:ind w:left="1440" w:hanging="1440"/>
        <w:jc w:val="both"/>
        <w:rPr>
          <w:rFonts w:ascii="Bookman Old Style" w:eastAsia="Calibri" w:hAnsi="Bookman Old Style" w:cs="Arial"/>
          <w:bCs/>
          <w:sz w:val="24"/>
          <w:szCs w:val="24"/>
          <w:lang w:bidi="en-US"/>
        </w:rPr>
      </w:pPr>
    </w:p>
    <w:p w14:paraId="49377A06" w14:textId="41ED22D4" w:rsidR="00611FC6" w:rsidRPr="00BA5A3C" w:rsidRDefault="00611FC6" w:rsidP="00651BBF">
      <w:pPr>
        <w:spacing w:after="0" w:line="240" w:lineRule="auto"/>
        <w:ind w:left="851" w:hanging="851"/>
        <w:jc w:val="both"/>
        <w:rPr>
          <w:rFonts w:ascii="Bookman Old Style" w:eastAsia="Calibri" w:hAnsi="Bookman Old Style" w:cs="Arial"/>
          <w:bCs/>
          <w:sz w:val="24"/>
          <w:szCs w:val="24"/>
        </w:rPr>
      </w:pPr>
      <w:r>
        <w:rPr>
          <w:rFonts w:ascii="Bookman Old Style" w:hAnsi="Bookman Old Style"/>
          <w:sz w:val="24"/>
        </w:rPr>
        <w:t>2.2.6.</w:t>
      </w:r>
      <w:r>
        <w:rPr>
          <w:rFonts w:ascii="Bookman Old Style" w:hAnsi="Bookman Old Style"/>
          <w:sz w:val="24"/>
        </w:rPr>
        <w:tab/>
        <w:t>La contribution de l'Agence suédoise (Sida) aux salaires concerne le poste de directeur de programme :</w:t>
      </w:r>
      <w:r>
        <w:rPr>
          <w:rFonts w:ascii="Bookman Old Style" w:hAnsi="Bookman Old Style"/>
          <w:color w:val="242424"/>
          <w:sz w:val="24"/>
        </w:rPr>
        <w:t xml:space="preserve"> Responsabilité démocratique. Cette contribution prendra fin le 31 mars 2023, ce qui signifie que le poste sera alors à nouveau payé par les fonds provenant des contributions des membres. Il en sera de même pour le poste de directeur de la gouvernance d'entreprise qui est actuellement payé directement sur les comptes de Sida. De plus amples informations sont disponibles dans la proposition de budget pour la période 2023/2024.</w:t>
      </w:r>
    </w:p>
    <w:p w14:paraId="23C55D37" w14:textId="6AA35636" w:rsidR="008A7AAC" w:rsidRPr="00F55B99" w:rsidRDefault="008A7AAC" w:rsidP="00A64F7F">
      <w:pPr>
        <w:spacing w:after="0" w:line="240" w:lineRule="auto"/>
        <w:ind w:left="1440" w:hanging="1440"/>
        <w:jc w:val="both"/>
        <w:rPr>
          <w:rFonts w:ascii="Bookman Old Style" w:eastAsia="Calibri" w:hAnsi="Bookman Old Style" w:cs="Arial"/>
          <w:bCs/>
          <w:sz w:val="24"/>
          <w:szCs w:val="24"/>
          <w:lang w:bidi="en-US"/>
        </w:rPr>
      </w:pPr>
    </w:p>
    <w:p w14:paraId="172F41BE" w14:textId="77777777" w:rsidR="003D2DB6" w:rsidRPr="00F55B99" w:rsidRDefault="003D2DB6" w:rsidP="00A64F7F">
      <w:pPr>
        <w:spacing w:after="0" w:line="240" w:lineRule="auto"/>
        <w:ind w:left="1440" w:hanging="1440"/>
        <w:jc w:val="both"/>
        <w:rPr>
          <w:rFonts w:ascii="Bookman Old Style" w:eastAsia="Calibri" w:hAnsi="Bookman Old Style" w:cs="Arial"/>
          <w:bCs/>
          <w:sz w:val="24"/>
          <w:szCs w:val="24"/>
          <w:lang w:bidi="en-US"/>
        </w:rPr>
      </w:pPr>
    </w:p>
    <w:p w14:paraId="59E0959C" w14:textId="17D857FE" w:rsidR="00DF4639" w:rsidRPr="00F55B99" w:rsidRDefault="00DF4639" w:rsidP="00B4712B">
      <w:pPr>
        <w:spacing w:after="0" w:line="240" w:lineRule="auto"/>
        <w:jc w:val="both"/>
        <w:rPr>
          <w:rFonts w:ascii="Bookman Old Style" w:eastAsia="Calibri" w:hAnsi="Bookman Old Style" w:cs="Arial"/>
          <w:bCs/>
          <w:sz w:val="24"/>
          <w:szCs w:val="24"/>
          <w:lang w:bidi="en-US"/>
        </w:rPr>
      </w:pPr>
    </w:p>
    <w:p w14:paraId="0673DACB" w14:textId="77777777" w:rsidR="00651BBF" w:rsidRDefault="006D2A16" w:rsidP="00411118">
      <w:pPr>
        <w:keepNext/>
        <w:keepLines/>
        <w:spacing w:after="0" w:line="240" w:lineRule="auto"/>
        <w:ind w:left="1440" w:hanging="1440"/>
        <w:jc w:val="both"/>
        <w:rPr>
          <w:rFonts w:ascii="Bookman Old Style" w:hAnsi="Bookman Old Style"/>
          <w:b/>
          <w:sz w:val="24"/>
          <w:u w:val="single"/>
        </w:rPr>
      </w:pPr>
      <w:r>
        <w:rPr>
          <w:rFonts w:ascii="Bookman Old Style" w:hAnsi="Bookman Old Style"/>
          <w:b/>
          <w:sz w:val="24"/>
        </w:rPr>
        <w:lastRenderedPageBreak/>
        <w:t>2.2.7.</w:t>
      </w:r>
      <w:r w:rsidRPr="006C45F5">
        <w:rPr>
          <w:rFonts w:ascii="Bookman Old Style" w:hAnsi="Bookman Old Style"/>
          <w:b/>
          <w:sz w:val="24"/>
        </w:rPr>
        <w:t xml:space="preserve"> </w:t>
      </w:r>
      <w:r>
        <w:rPr>
          <w:rFonts w:ascii="Bookman Old Style" w:hAnsi="Bookman Old Style"/>
          <w:b/>
          <w:sz w:val="24"/>
          <w:u w:val="single"/>
        </w:rPr>
        <w:t xml:space="preserve">TABLEAU DES VARIATIONS BUDGÉTAIRES (REVENUS) AU </w:t>
      </w:r>
    </w:p>
    <w:p w14:paraId="61B46857" w14:textId="17969236" w:rsidR="00DF4639" w:rsidRPr="001A1C6D" w:rsidRDefault="006D2A16" w:rsidP="00651BBF">
      <w:pPr>
        <w:keepNext/>
        <w:keepLines/>
        <w:spacing w:after="0" w:line="240" w:lineRule="auto"/>
        <w:ind w:left="1440" w:hanging="589"/>
        <w:jc w:val="both"/>
        <w:rPr>
          <w:rFonts w:ascii="Bookman Old Style" w:eastAsia="Calibri" w:hAnsi="Bookman Old Style" w:cs="Arial"/>
          <w:b/>
          <w:sz w:val="24"/>
          <w:szCs w:val="24"/>
          <w:u w:val="single"/>
        </w:rPr>
      </w:pPr>
      <w:r>
        <w:rPr>
          <w:rFonts w:ascii="Bookman Old Style" w:hAnsi="Bookman Old Style"/>
          <w:b/>
          <w:sz w:val="24"/>
          <w:u w:val="single"/>
        </w:rPr>
        <w:t>30 SEPTEMBRE 2022</w:t>
      </w:r>
    </w:p>
    <w:p w14:paraId="1D496564" w14:textId="6C7CEBBB" w:rsidR="00003793" w:rsidRPr="00A64F7F" w:rsidRDefault="00003793" w:rsidP="00411118">
      <w:pPr>
        <w:keepNext/>
        <w:keepLines/>
        <w:spacing w:after="0" w:line="240" w:lineRule="auto"/>
        <w:jc w:val="both"/>
        <w:rPr>
          <w:rFonts w:ascii="Bookman Old Style" w:eastAsia="Calibri" w:hAnsi="Bookman Old Style" w:cs="Arial"/>
          <w:bCs/>
          <w:sz w:val="24"/>
          <w:szCs w:val="24"/>
        </w:rPr>
      </w:pPr>
    </w:p>
    <w:p w14:paraId="79D1AA5E" w14:textId="17F7D3B6" w:rsidR="00A64F7F" w:rsidRPr="00DB08B6" w:rsidRDefault="00A64F7F" w:rsidP="006C45F5">
      <w:pPr>
        <w:keepNext/>
        <w:keepLines/>
        <w:spacing w:after="0" w:line="240" w:lineRule="auto"/>
        <w:jc w:val="both"/>
        <w:rPr>
          <w:rFonts w:ascii="Bookman Old Style" w:eastAsia="Calibri" w:hAnsi="Bookman Old Style" w:cs="Arial"/>
          <w:bCs/>
          <w:sz w:val="24"/>
          <w:szCs w:val="24"/>
          <w:lang w:bidi="en-US"/>
        </w:rPr>
      </w:pPr>
    </w:p>
    <w:p w14:paraId="19819EDF" w14:textId="5D1FECC8" w:rsidR="006C45F5" w:rsidRDefault="006C45F5" w:rsidP="006C45F5">
      <w:pPr>
        <w:keepNext/>
        <w:keepLines/>
        <w:spacing w:after="0" w:line="240" w:lineRule="auto"/>
        <w:jc w:val="both"/>
        <w:rPr>
          <w:rFonts w:ascii="Bookman Old Style" w:eastAsia="Calibri" w:hAnsi="Bookman Old Style" w:cs="Arial"/>
          <w:bCs/>
          <w:sz w:val="24"/>
          <w:szCs w:val="24"/>
          <w:lang w:val="en-GB" w:bidi="en-US"/>
        </w:rPr>
      </w:pPr>
      <w:r w:rsidRPr="006C45F5">
        <w:rPr>
          <w:noProof/>
        </w:rPr>
        <w:drawing>
          <wp:inline distT="0" distB="0" distL="0" distR="0" wp14:anchorId="6E336824" wp14:editId="5740D01E">
            <wp:extent cx="6416675" cy="2049780"/>
            <wp:effectExtent l="0" t="0" r="317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1617" cy="2054553"/>
                    </a:xfrm>
                    <a:prstGeom prst="rect">
                      <a:avLst/>
                    </a:prstGeom>
                    <a:noFill/>
                    <a:ln>
                      <a:noFill/>
                    </a:ln>
                  </pic:spPr>
                </pic:pic>
              </a:graphicData>
            </a:graphic>
          </wp:inline>
        </w:drawing>
      </w:r>
    </w:p>
    <w:p w14:paraId="4CCAB7BE" w14:textId="77777777" w:rsidR="006C45F5" w:rsidRDefault="006C45F5" w:rsidP="006C45F5">
      <w:pPr>
        <w:keepNext/>
        <w:keepLines/>
        <w:spacing w:after="0" w:line="240" w:lineRule="auto"/>
        <w:jc w:val="both"/>
        <w:rPr>
          <w:rFonts w:ascii="Bookman Old Style" w:eastAsia="Calibri" w:hAnsi="Bookman Old Style" w:cs="Arial"/>
          <w:bCs/>
          <w:sz w:val="24"/>
          <w:szCs w:val="24"/>
          <w:lang w:val="en-GB" w:bidi="en-US"/>
        </w:rPr>
      </w:pPr>
    </w:p>
    <w:p w14:paraId="4906AB8B" w14:textId="77777777" w:rsidR="006C45F5" w:rsidRDefault="006C45F5" w:rsidP="006C45F5">
      <w:pPr>
        <w:keepNext/>
        <w:keepLines/>
        <w:spacing w:after="0" w:line="240" w:lineRule="auto"/>
        <w:jc w:val="both"/>
        <w:rPr>
          <w:rFonts w:ascii="Bookman Old Style" w:eastAsia="Calibri" w:hAnsi="Bookman Old Style" w:cs="Arial"/>
          <w:bCs/>
          <w:sz w:val="24"/>
          <w:szCs w:val="24"/>
          <w:lang w:val="en-GB" w:bidi="en-US"/>
        </w:rPr>
      </w:pPr>
    </w:p>
    <w:p w14:paraId="0A2281A2" w14:textId="7981A990" w:rsidR="000C6D0E" w:rsidRPr="006C45F5" w:rsidRDefault="000C6D0E" w:rsidP="006C45F5">
      <w:pPr>
        <w:ind w:left="720" w:hanging="720"/>
        <w:jc w:val="both"/>
        <w:rPr>
          <w:rFonts w:ascii="Bookman Old Style" w:eastAsia="Calibri" w:hAnsi="Bookman Old Style" w:cs="Arial"/>
          <w:b/>
          <w:sz w:val="24"/>
          <w:szCs w:val="24"/>
        </w:rPr>
      </w:pPr>
      <w:bookmarkStart w:id="10" w:name="_Hlk104196171"/>
      <w:r>
        <w:rPr>
          <w:rFonts w:ascii="Bookman Old Style" w:hAnsi="Bookman Old Style"/>
          <w:b/>
          <w:sz w:val="24"/>
        </w:rPr>
        <w:t>2.3.</w:t>
      </w:r>
      <w:r>
        <w:rPr>
          <w:rFonts w:ascii="Bookman Old Style" w:hAnsi="Bookman Old Style"/>
          <w:b/>
          <w:sz w:val="24"/>
        </w:rPr>
        <w:tab/>
        <w:t>RAPPORT SUR LES ÉCARTS BUDGÉTAIRES EN DATE DU 30 SEPTEMBRE 2022 (DÉPENSES)</w:t>
      </w:r>
      <w:bookmarkEnd w:id="10"/>
    </w:p>
    <w:p w14:paraId="1002FB50" w14:textId="5D6FDFFD" w:rsidR="006C45F5" w:rsidRDefault="006C45F5" w:rsidP="006C45F5">
      <w:pPr>
        <w:spacing w:after="0" w:line="240" w:lineRule="auto"/>
        <w:ind w:left="1440" w:hanging="2433"/>
        <w:jc w:val="both"/>
        <w:rPr>
          <w:rFonts w:ascii="Bookman Old Style" w:eastAsia="Calibri" w:hAnsi="Bookman Old Style" w:cs="Arial"/>
          <w:b/>
          <w:sz w:val="32"/>
          <w:szCs w:val="32"/>
        </w:rPr>
      </w:pPr>
    </w:p>
    <w:p w14:paraId="27F0C208" w14:textId="1262C219" w:rsidR="006C45F5" w:rsidRPr="006C45F5" w:rsidRDefault="006C45F5" w:rsidP="006C45F5">
      <w:pPr>
        <w:spacing w:after="0" w:line="240" w:lineRule="auto"/>
        <w:ind w:left="1440" w:hanging="2433"/>
        <w:jc w:val="both"/>
        <w:rPr>
          <w:rFonts w:ascii="Bookman Old Style" w:eastAsia="Calibri" w:hAnsi="Bookman Old Style" w:cs="Arial"/>
          <w:b/>
          <w:sz w:val="32"/>
          <w:szCs w:val="32"/>
        </w:rPr>
      </w:pPr>
      <w:r w:rsidRPr="006C45F5">
        <w:rPr>
          <w:noProof/>
        </w:rPr>
        <w:drawing>
          <wp:inline distT="0" distB="0" distL="0" distR="0" wp14:anchorId="3E1088DC" wp14:editId="18A78B62">
            <wp:extent cx="6880426" cy="3208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4026" cy="3214361"/>
                    </a:xfrm>
                    <a:prstGeom prst="rect">
                      <a:avLst/>
                    </a:prstGeom>
                    <a:noFill/>
                    <a:ln>
                      <a:noFill/>
                    </a:ln>
                  </pic:spPr>
                </pic:pic>
              </a:graphicData>
            </a:graphic>
          </wp:inline>
        </w:drawing>
      </w:r>
    </w:p>
    <w:p w14:paraId="1E5B0383" w14:textId="7E52E4E8" w:rsidR="006C45F5" w:rsidRDefault="006C45F5" w:rsidP="00A64F7F">
      <w:pPr>
        <w:spacing w:after="0" w:line="240" w:lineRule="auto"/>
        <w:jc w:val="both"/>
        <w:rPr>
          <w:rFonts w:ascii="Bookman Old Style" w:eastAsia="Calibri" w:hAnsi="Bookman Old Style" w:cs="Arial"/>
          <w:b/>
          <w:sz w:val="24"/>
          <w:szCs w:val="24"/>
          <w:lang w:val="en-GB" w:bidi="en-US"/>
        </w:rPr>
      </w:pPr>
    </w:p>
    <w:p w14:paraId="4D249230" w14:textId="77777777" w:rsidR="006C45F5" w:rsidRDefault="006C45F5" w:rsidP="00A64F7F">
      <w:pPr>
        <w:spacing w:after="0" w:line="240" w:lineRule="auto"/>
        <w:jc w:val="both"/>
        <w:rPr>
          <w:rFonts w:ascii="Bookman Old Style" w:eastAsia="Calibri" w:hAnsi="Bookman Old Style" w:cs="Arial"/>
          <w:b/>
          <w:sz w:val="24"/>
          <w:szCs w:val="24"/>
          <w:lang w:val="en-GB" w:bidi="en-US"/>
        </w:rPr>
      </w:pPr>
    </w:p>
    <w:p w14:paraId="06E23521" w14:textId="13A65780" w:rsidR="00A64F7F" w:rsidRDefault="000C6D0E" w:rsidP="00651BBF">
      <w:pPr>
        <w:spacing w:after="0" w:line="240" w:lineRule="auto"/>
        <w:ind w:left="567" w:hanging="567"/>
        <w:jc w:val="both"/>
        <w:rPr>
          <w:rFonts w:ascii="Bookman Old Style" w:hAnsi="Bookman Old Style"/>
          <w:b/>
          <w:sz w:val="24"/>
        </w:rPr>
      </w:pPr>
      <w:r>
        <w:rPr>
          <w:rFonts w:ascii="Bookman Old Style" w:hAnsi="Bookman Old Style"/>
          <w:b/>
          <w:sz w:val="24"/>
        </w:rPr>
        <w:t>2.3.1.</w:t>
      </w:r>
      <w:r w:rsidR="00651BBF">
        <w:rPr>
          <w:rFonts w:ascii="Bookman Old Style" w:hAnsi="Bookman Old Style"/>
          <w:b/>
          <w:sz w:val="24"/>
        </w:rPr>
        <w:t xml:space="preserve">  </w:t>
      </w:r>
      <w:r>
        <w:rPr>
          <w:rFonts w:ascii="Bookman Old Style" w:hAnsi="Bookman Old Style"/>
          <w:b/>
          <w:sz w:val="24"/>
        </w:rPr>
        <w:t>Dépenses prévues au budget : N$ 25 464 890</w:t>
      </w:r>
    </w:p>
    <w:p w14:paraId="5F174010" w14:textId="77777777" w:rsidR="00CF15D9" w:rsidRPr="00A64F7F" w:rsidRDefault="00CF15D9" w:rsidP="00651BBF">
      <w:pPr>
        <w:spacing w:after="0" w:line="240" w:lineRule="auto"/>
        <w:ind w:left="567" w:hanging="567"/>
        <w:jc w:val="both"/>
        <w:rPr>
          <w:rFonts w:ascii="Bookman Old Style" w:eastAsia="Calibri" w:hAnsi="Bookman Old Style" w:cs="Arial"/>
          <w:b/>
          <w:bCs/>
          <w:sz w:val="24"/>
          <w:szCs w:val="24"/>
        </w:rPr>
      </w:pPr>
    </w:p>
    <w:p w14:paraId="2F1CF407" w14:textId="40EF1A17" w:rsidR="00A64F7F" w:rsidRPr="00A64F7F" w:rsidRDefault="00A64F7F" w:rsidP="00651BBF">
      <w:pPr>
        <w:spacing w:after="0" w:line="240" w:lineRule="auto"/>
        <w:ind w:left="851"/>
        <w:jc w:val="both"/>
        <w:rPr>
          <w:rFonts w:ascii="Bookman Old Style" w:eastAsia="Calibri" w:hAnsi="Bookman Old Style" w:cs="Arial"/>
          <w:sz w:val="24"/>
          <w:szCs w:val="24"/>
        </w:rPr>
      </w:pPr>
      <w:r>
        <w:rPr>
          <w:rFonts w:ascii="Bookman Old Style" w:hAnsi="Bookman Old Style"/>
          <w:sz w:val="24"/>
        </w:rPr>
        <w:t>Le total des dépenses budgétisées pour l'exercice financier (budget 2022/2023 approuvé par la 50</w:t>
      </w:r>
      <w:r>
        <w:rPr>
          <w:rFonts w:ascii="Bookman Old Style" w:hAnsi="Bookman Old Style"/>
          <w:sz w:val="24"/>
          <w:vertAlign w:val="superscript"/>
        </w:rPr>
        <w:t>e</w:t>
      </w:r>
      <w:r>
        <w:rPr>
          <w:rFonts w:ascii="Bookman Old Style" w:hAnsi="Bookman Old Style"/>
          <w:sz w:val="24"/>
        </w:rPr>
        <w:t xml:space="preserve"> Assemblée plénière), moins les dépenses budgétisées des fonds des donateurs, s'élevait à N$24 259 890. Il en résulte un excédent budgétisé de N$ 1 281 264 (N$ 25 541 154 moins 24 259 890). Au cours de l'exercice 2022/2023, conformément à l'approbation de la 51e Assemblée plénière, un total </w:t>
      </w:r>
      <w:r>
        <w:rPr>
          <w:rFonts w:ascii="Bookman Old Style" w:hAnsi="Bookman Old Style"/>
          <w:sz w:val="24"/>
        </w:rPr>
        <w:lastRenderedPageBreak/>
        <w:t>de N$ 473 000 a été reporté de l'exercice clos le 31 mars 2022 pour les dépenses d'investissement non engagées l'année précédente et le solde de N$ 228 000 a été reporté pour l'observation des élections. Des contributions d'un montant de N$ 504 000 ont également été engagées par six parlements membres pour la mission d'observation des élections en Angola en août 2022. Cela a porté les dépenses budgétisées à N$ 25 464 890.</w:t>
      </w:r>
    </w:p>
    <w:p w14:paraId="04CA7D80" w14:textId="77777777" w:rsidR="00A64F7F" w:rsidRPr="00F55B99" w:rsidRDefault="00A64F7F" w:rsidP="00A64F7F">
      <w:pPr>
        <w:spacing w:after="0" w:line="240" w:lineRule="auto"/>
        <w:jc w:val="both"/>
        <w:rPr>
          <w:rFonts w:ascii="Bookman Old Style" w:eastAsia="Calibri" w:hAnsi="Bookman Old Style" w:cs="Arial"/>
          <w:b/>
          <w:bCs/>
          <w:sz w:val="24"/>
          <w:szCs w:val="24"/>
          <w:lang w:bidi="en-US"/>
        </w:rPr>
      </w:pPr>
    </w:p>
    <w:p w14:paraId="673D3984" w14:textId="004A84C2" w:rsidR="00A64F7F" w:rsidRPr="00327443" w:rsidRDefault="000C6D0E" w:rsidP="00651BBF">
      <w:pPr>
        <w:spacing w:after="0" w:line="240" w:lineRule="auto"/>
        <w:ind w:left="851" w:hanging="851"/>
        <w:jc w:val="both"/>
        <w:rPr>
          <w:rFonts w:ascii="Bookman Old Style" w:eastAsia="Calibri" w:hAnsi="Bookman Old Style" w:cs="Arial"/>
          <w:sz w:val="24"/>
          <w:szCs w:val="24"/>
        </w:rPr>
      </w:pPr>
      <w:r>
        <w:rPr>
          <w:rFonts w:ascii="Bookman Old Style" w:hAnsi="Bookman Old Style"/>
          <w:b/>
          <w:sz w:val="24"/>
        </w:rPr>
        <w:t>2.3.2.</w:t>
      </w:r>
      <w:r>
        <w:rPr>
          <w:rFonts w:ascii="Bookman Old Style" w:hAnsi="Bookman Old Style"/>
          <w:b/>
          <w:sz w:val="24"/>
        </w:rPr>
        <w:tab/>
        <w:t>Total des dépenses réelles N$11 374 367</w:t>
      </w:r>
    </w:p>
    <w:p w14:paraId="19BE9CA4" w14:textId="48C8512C" w:rsidR="00A64F7F" w:rsidRPr="00FF0FF7" w:rsidRDefault="00A64F7F" w:rsidP="00651BBF">
      <w:pPr>
        <w:spacing w:after="0" w:line="240" w:lineRule="auto"/>
        <w:ind w:left="851"/>
        <w:jc w:val="both"/>
        <w:rPr>
          <w:rFonts w:ascii="Bookman Old Style" w:eastAsia="Calibri" w:hAnsi="Bookman Old Style" w:cs="Arial"/>
          <w:sz w:val="24"/>
          <w:szCs w:val="24"/>
        </w:rPr>
      </w:pPr>
      <w:r>
        <w:rPr>
          <w:rFonts w:ascii="Bookman Old Style" w:hAnsi="Bookman Old Style"/>
          <w:sz w:val="24"/>
        </w:rPr>
        <w:t>Le total des dépenses réelles à la date du 30 septembre 2022 est de N$ 11 374 367, soit 45% du total des dépenses budgétisées pour l'année, laissant un solde de N$ 14 090 523 (55%).  À mi-chemin de l'exercice financier, la tendance des dépenses est en bonne voie, d'autant plus que certains coûts tels que les frais d'audit et les primes d'assurance sont payés au cours du premier semestre. Des activités d'observation électorale ont également eu lieu en août 2022.</w:t>
      </w:r>
    </w:p>
    <w:p w14:paraId="408C033D" w14:textId="776563A6" w:rsidR="00A64F7F" w:rsidRPr="00F55B99" w:rsidRDefault="00A64F7F" w:rsidP="00A64F7F">
      <w:pPr>
        <w:spacing w:after="0" w:line="240" w:lineRule="auto"/>
        <w:ind w:left="1080"/>
        <w:contextualSpacing/>
        <w:jc w:val="both"/>
        <w:rPr>
          <w:rFonts w:ascii="Bookman Old Style" w:eastAsia="Calibri" w:hAnsi="Bookman Old Style" w:cs="Arial"/>
          <w:sz w:val="24"/>
          <w:szCs w:val="24"/>
          <w:lang w:bidi="en-US"/>
        </w:rPr>
      </w:pPr>
    </w:p>
    <w:p w14:paraId="566515D3" w14:textId="4B01C923" w:rsidR="00A64F7F" w:rsidRPr="00A64F7F" w:rsidRDefault="000C6D0E" w:rsidP="00651BBF">
      <w:pPr>
        <w:spacing w:after="0" w:line="240" w:lineRule="auto"/>
        <w:ind w:left="851" w:hanging="851"/>
        <w:jc w:val="both"/>
        <w:rPr>
          <w:rFonts w:ascii="Bookman Old Style" w:eastAsia="Calibri" w:hAnsi="Bookman Old Style" w:cs="Arial"/>
          <w:b/>
          <w:sz w:val="24"/>
          <w:szCs w:val="24"/>
        </w:rPr>
      </w:pPr>
      <w:r>
        <w:rPr>
          <w:rFonts w:ascii="Bookman Old Style" w:hAnsi="Bookman Old Style"/>
          <w:b/>
          <w:sz w:val="24"/>
        </w:rPr>
        <w:t xml:space="preserve">2.3.3 </w:t>
      </w:r>
      <w:r>
        <w:rPr>
          <w:rFonts w:ascii="Bookman Old Style" w:hAnsi="Bookman Old Style"/>
          <w:b/>
          <w:sz w:val="24"/>
        </w:rPr>
        <w:tab/>
        <w:t xml:space="preserve">Écarts défavorables </w:t>
      </w:r>
    </w:p>
    <w:p w14:paraId="7F03113F" w14:textId="2A0441B4" w:rsidR="00A64F7F" w:rsidRPr="00A64F7F" w:rsidRDefault="00A64F7F" w:rsidP="00651BBF">
      <w:pPr>
        <w:spacing w:after="0" w:line="240" w:lineRule="auto"/>
        <w:ind w:left="851"/>
        <w:jc w:val="both"/>
        <w:rPr>
          <w:rFonts w:ascii="Bookman Old Style" w:eastAsia="Calibri" w:hAnsi="Bookman Old Style" w:cs="Arial"/>
          <w:bCs/>
          <w:sz w:val="24"/>
          <w:szCs w:val="24"/>
        </w:rPr>
      </w:pPr>
      <w:r>
        <w:rPr>
          <w:rFonts w:ascii="Bookman Old Style" w:hAnsi="Bookman Old Style"/>
          <w:sz w:val="24"/>
        </w:rPr>
        <w:t>Les lignes budgétaires ci-après présentent des écarts défavorables au 30 septembre 2022 :</w:t>
      </w:r>
    </w:p>
    <w:p w14:paraId="33B996AC" w14:textId="77777777" w:rsidR="00A64F7F" w:rsidRPr="00F55B99" w:rsidRDefault="00A64F7F" w:rsidP="00A64F7F">
      <w:pPr>
        <w:spacing w:after="0" w:line="240" w:lineRule="auto"/>
        <w:ind w:left="426"/>
        <w:jc w:val="both"/>
        <w:rPr>
          <w:rFonts w:ascii="Bookman Old Style" w:eastAsia="Calibri" w:hAnsi="Bookman Old Style" w:cs="Arial"/>
          <w:bCs/>
          <w:sz w:val="24"/>
          <w:szCs w:val="24"/>
          <w:lang w:bidi="en-US"/>
        </w:rPr>
      </w:pPr>
    </w:p>
    <w:p w14:paraId="71D616D4" w14:textId="653E5B88" w:rsidR="00A64F7F" w:rsidRPr="00651BBF" w:rsidRDefault="00A64F7F" w:rsidP="00651BBF">
      <w:pPr>
        <w:pStyle w:val="ListParagraph"/>
        <w:numPr>
          <w:ilvl w:val="3"/>
          <w:numId w:val="33"/>
        </w:numPr>
        <w:ind w:left="993" w:hanging="993"/>
        <w:jc w:val="both"/>
        <w:rPr>
          <w:rFonts w:ascii="Bookman Old Style" w:eastAsia="Calibri" w:hAnsi="Bookman Old Style" w:cs="Arial"/>
          <w:bCs/>
          <w:sz w:val="24"/>
          <w:szCs w:val="24"/>
        </w:rPr>
      </w:pPr>
      <w:r w:rsidRPr="00651BBF">
        <w:rPr>
          <w:rFonts w:ascii="Bookman Old Style" w:hAnsi="Bookman Old Style"/>
          <w:sz w:val="24"/>
          <w:szCs w:val="24"/>
        </w:rPr>
        <w:t>Frais professionnels, de consultance et juridiques - 34%.</w:t>
      </w:r>
    </w:p>
    <w:p w14:paraId="76C1461F" w14:textId="1611ED46" w:rsidR="00A64F7F" w:rsidRPr="00651BBF" w:rsidRDefault="00A64F7F" w:rsidP="00651BBF">
      <w:pPr>
        <w:spacing w:after="0" w:line="240" w:lineRule="auto"/>
        <w:ind w:left="993"/>
        <w:jc w:val="both"/>
        <w:rPr>
          <w:rFonts w:ascii="Bookman Old Style" w:eastAsia="Calibri" w:hAnsi="Bookman Old Style" w:cs="Arial"/>
          <w:sz w:val="24"/>
          <w:szCs w:val="24"/>
        </w:rPr>
      </w:pPr>
      <w:bookmarkStart w:id="11" w:name="_Hlk69884096"/>
      <w:r w:rsidRPr="00651BBF">
        <w:rPr>
          <w:sz w:val="24"/>
          <w:szCs w:val="24"/>
        </w:rPr>
        <w:t>Un écart défavorable de N$44 994 (33%) a été réalisé avec des dépenses de N$179 395 contre une provision budgétaire de N$</w:t>
      </w:r>
      <w:bookmarkEnd w:id="11"/>
      <w:r w:rsidRPr="00651BBF">
        <w:rPr>
          <w:rFonts w:ascii="Bookman Old Style" w:hAnsi="Bookman Old Style"/>
          <w:sz w:val="24"/>
          <w:szCs w:val="24"/>
        </w:rPr>
        <w:t>134 400. Les dépenses de cette ligne budgétaire ont servi à payer les consultants engagés pour la révision des salaires et des systèmes de gestion des performances, et la révision des manuels d'audit interne, entre autres. L'écart défavorable s'explique principalement par le fait que la ligne budgétaire a été sous-estimée et n'a pas été révisée pour tenir compte du coût des consultants. Les consultations ont été approuvées par l'Assemblée plénière en vue de la mise en œuvre de la politique et des systèmes de gestion des ressources humaines et financières, qui étaient en retard depuis de nombreuses années. Il a été reconnu que l'institution réaliserait des économies sur diverses autres lignes budgétaires qui pourraient être utilisées et que, par conséquent, le budget total global ne serait pas dépassé, les dépenses totales restant dans les limites du budget total approuvé.</w:t>
      </w:r>
    </w:p>
    <w:p w14:paraId="6FAC16AF" w14:textId="77777777" w:rsidR="00A64F7F" w:rsidRPr="00F55B99" w:rsidRDefault="00A64F7F" w:rsidP="00A64F7F">
      <w:pPr>
        <w:spacing w:after="0" w:line="240" w:lineRule="auto"/>
        <w:ind w:left="2268" w:hanging="708"/>
        <w:jc w:val="both"/>
        <w:rPr>
          <w:rFonts w:ascii="Bookman Old Style" w:eastAsia="Calibri" w:hAnsi="Bookman Old Style" w:cs="Arial"/>
          <w:bCs/>
          <w:sz w:val="24"/>
          <w:szCs w:val="24"/>
          <w:lang w:bidi="en-US"/>
        </w:rPr>
      </w:pPr>
    </w:p>
    <w:p w14:paraId="37EF287E" w14:textId="47E1EB34" w:rsidR="00A64F7F" w:rsidRPr="005B4DAC" w:rsidRDefault="00A64F7F" w:rsidP="005B4DAC">
      <w:pPr>
        <w:pStyle w:val="ListParagraph"/>
        <w:numPr>
          <w:ilvl w:val="3"/>
          <w:numId w:val="33"/>
        </w:numPr>
        <w:jc w:val="both"/>
        <w:rPr>
          <w:rFonts w:ascii="Bookman Old Style" w:eastAsia="Calibri" w:hAnsi="Bookman Old Style" w:cs="Arial"/>
          <w:bCs/>
          <w:sz w:val="24"/>
          <w:szCs w:val="24"/>
        </w:rPr>
      </w:pPr>
      <w:r>
        <w:rPr>
          <w:rFonts w:ascii="Bookman Old Style" w:hAnsi="Bookman Old Style"/>
          <w:sz w:val="24"/>
        </w:rPr>
        <w:t>Voyages, indemnités de subsistance et transports -13%.</w:t>
      </w:r>
    </w:p>
    <w:p w14:paraId="6CF1396B" w14:textId="362A916F" w:rsidR="00A64F7F" w:rsidRPr="00A64F7F" w:rsidRDefault="00A64F7F" w:rsidP="005B4DAC">
      <w:pPr>
        <w:spacing w:after="0" w:line="240" w:lineRule="auto"/>
        <w:ind w:left="1080"/>
        <w:jc w:val="both"/>
        <w:rPr>
          <w:rFonts w:ascii="Bookman Old Style" w:eastAsia="Calibri" w:hAnsi="Bookman Old Style" w:cs="Arial"/>
          <w:bCs/>
          <w:sz w:val="24"/>
          <w:szCs w:val="24"/>
        </w:rPr>
      </w:pPr>
      <w:r>
        <w:rPr>
          <w:rFonts w:ascii="Bookman Old Style" w:hAnsi="Bookman Old Style"/>
          <w:sz w:val="24"/>
        </w:rPr>
        <w:t>Les dépenses réelles se sont élevées à N$ 278 307 contre des dépenses budgétisées de N$ 245 584, soit un écart négatif de N$ 32 723 (13%). Cela s'explique par la participation à diverses conférences et réunions régionales et internationales, notamment la 144</w:t>
      </w:r>
      <w:r>
        <w:rPr>
          <w:rFonts w:ascii="Bookman Old Style" w:hAnsi="Bookman Old Style"/>
          <w:sz w:val="24"/>
          <w:vertAlign w:val="superscript"/>
        </w:rPr>
        <w:t>e</w:t>
      </w:r>
      <w:r>
        <w:rPr>
          <w:rFonts w:ascii="Bookman Old Style" w:hAnsi="Bookman Old Style"/>
          <w:sz w:val="24"/>
        </w:rPr>
        <w:t xml:space="preserve"> conférence de l'UIP en Indonésie, le sommet de la SADC en République démocratique du Congo, le Parlement panafricain et d'autres réunions régionales. Les coûts ont été plus élevés que prévu en raison de l'augmentation des frais de voyage par avion.</w:t>
      </w:r>
    </w:p>
    <w:p w14:paraId="7D34C14B" w14:textId="77777777" w:rsidR="00A64F7F" w:rsidRPr="00F55B99" w:rsidRDefault="00A64F7F" w:rsidP="00A64F7F">
      <w:pPr>
        <w:spacing w:after="0" w:line="240" w:lineRule="auto"/>
        <w:ind w:left="2268"/>
        <w:contextualSpacing/>
        <w:jc w:val="both"/>
        <w:rPr>
          <w:rFonts w:ascii="Bookman Old Style" w:eastAsia="Calibri" w:hAnsi="Bookman Old Style" w:cs="Arial"/>
          <w:bCs/>
          <w:sz w:val="24"/>
          <w:szCs w:val="24"/>
          <w:lang w:bidi="en-US"/>
        </w:rPr>
      </w:pPr>
    </w:p>
    <w:p w14:paraId="6D064BCF" w14:textId="1EE6AB06" w:rsidR="00D96504" w:rsidRDefault="00D96504" w:rsidP="000F14DE">
      <w:pPr>
        <w:keepNext/>
        <w:keepLines/>
        <w:numPr>
          <w:ilvl w:val="3"/>
          <w:numId w:val="33"/>
        </w:numPr>
        <w:spacing w:after="0" w:line="240" w:lineRule="auto"/>
        <w:ind w:left="1077"/>
        <w:contextualSpacing/>
        <w:jc w:val="both"/>
        <w:rPr>
          <w:rFonts w:ascii="Bookman Old Style" w:eastAsia="Calibri" w:hAnsi="Bookman Old Style" w:cs="Arial"/>
          <w:sz w:val="24"/>
          <w:szCs w:val="24"/>
        </w:rPr>
      </w:pPr>
      <w:r>
        <w:rPr>
          <w:rFonts w:ascii="Bookman Old Style" w:hAnsi="Bookman Old Style"/>
          <w:sz w:val="24"/>
        </w:rPr>
        <w:lastRenderedPageBreak/>
        <w:t>Observation des élections -15 %.</w:t>
      </w:r>
    </w:p>
    <w:p w14:paraId="771B8D41" w14:textId="2F7354AE" w:rsidR="00D96504" w:rsidRPr="00D96504" w:rsidRDefault="00BF3456" w:rsidP="000F14DE">
      <w:pPr>
        <w:keepNext/>
        <w:keepLines/>
        <w:spacing w:after="0" w:line="240" w:lineRule="auto"/>
        <w:ind w:left="1077"/>
        <w:contextualSpacing/>
        <w:jc w:val="both"/>
        <w:rPr>
          <w:rFonts w:ascii="Bookman Old Style" w:eastAsia="Calibri" w:hAnsi="Bookman Old Style" w:cs="Arial"/>
          <w:sz w:val="24"/>
          <w:szCs w:val="24"/>
        </w:rPr>
      </w:pPr>
      <w:r>
        <w:rPr>
          <w:rFonts w:ascii="Bookman Old Style" w:hAnsi="Bookman Old Style"/>
          <w:sz w:val="24"/>
        </w:rPr>
        <w:t xml:space="preserve">Les dépenses réelles se sont élevées à N$ 1 186 001 contre un budget de N$ 1 032 000, soit un écart négatif de N$ 154 001 (15 %). Ces dépenses ont été encourues lors de la mission d'observation électorale en Angola en août 2022. Les coûts du transport terrestre, de logement et des installations de conférence étaient très élevés, en raison de la forte demande résultant du grand nombre de missions d'observation électorale en Angola. Comme nous l'avons déjà indiqué, des contributions ont été engagées par six parlements membres, dont trois ont déjà été reçues du Mozambique, de la Zambie et du Zimbabwe ; les contributions de US$ 4 800 par parlement participant (N$ 504 000 au total) sont incluses dans le montant des dépenses budgétisées de N$ 1 032 000. En outre, N$ 228 000 ont été reportés pour l'observation des élections de l'exercice précédent, clos le 31 mars 2022. </w:t>
      </w:r>
    </w:p>
    <w:p w14:paraId="59C2AB8E" w14:textId="77777777" w:rsidR="00B142E9" w:rsidRDefault="00B142E9" w:rsidP="00D96504">
      <w:pPr>
        <w:pStyle w:val="ListParagraph"/>
        <w:ind w:left="864" w:firstLine="0"/>
        <w:jc w:val="both"/>
        <w:rPr>
          <w:rFonts w:ascii="Bookman Old Style" w:eastAsia="Calibri" w:hAnsi="Bookman Old Style" w:cs="Arial"/>
          <w:b/>
          <w:bCs/>
          <w:sz w:val="24"/>
          <w:szCs w:val="24"/>
        </w:rPr>
      </w:pPr>
    </w:p>
    <w:p w14:paraId="3A956BF6" w14:textId="033DDDC4" w:rsidR="00517BF0" w:rsidRPr="00517BF0" w:rsidRDefault="00517BF0" w:rsidP="00517BF0">
      <w:pPr>
        <w:pStyle w:val="ListParagraph"/>
        <w:numPr>
          <w:ilvl w:val="2"/>
          <w:numId w:val="33"/>
        </w:numPr>
        <w:jc w:val="both"/>
        <w:rPr>
          <w:rFonts w:ascii="Bookman Old Style" w:eastAsia="Calibri" w:hAnsi="Bookman Old Style" w:cs="Arial"/>
          <w:b/>
          <w:bCs/>
          <w:sz w:val="24"/>
          <w:szCs w:val="24"/>
        </w:rPr>
      </w:pPr>
      <w:r>
        <w:rPr>
          <w:rFonts w:ascii="Bookman Old Style" w:hAnsi="Bookman Old Style"/>
          <w:b/>
          <w:sz w:val="24"/>
        </w:rPr>
        <w:t>Analyse de la tendance de la performance budgétaire (lignes budgétaires à variation favorable dont plus de 50% du budget est dépensé)</w:t>
      </w:r>
    </w:p>
    <w:p w14:paraId="115BA066" w14:textId="77777777" w:rsidR="00517BF0" w:rsidRPr="00F55B99" w:rsidRDefault="00517BF0" w:rsidP="00517BF0">
      <w:pPr>
        <w:spacing w:after="0" w:line="240" w:lineRule="auto"/>
        <w:jc w:val="both"/>
        <w:rPr>
          <w:rFonts w:ascii="Bookman Old Style" w:eastAsia="Calibri" w:hAnsi="Bookman Old Style" w:cs="Arial"/>
          <w:sz w:val="24"/>
          <w:szCs w:val="24"/>
          <w:lang w:bidi="en-US"/>
        </w:rPr>
      </w:pPr>
    </w:p>
    <w:p w14:paraId="03252F57" w14:textId="4FB83523" w:rsidR="00517BF0" w:rsidRPr="00517BF0" w:rsidRDefault="006B202E" w:rsidP="00517BF0">
      <w:pPr>
        <w:spacing w:after="0" w:line="240" w:lineRule="auto"/>
        <w:jc w:val="both"/>
        <w:rPr>
          <w:rFonts w:ascii="Bookman Old Style" w:eastAsia="Calibri" w:hAnsi="Bookman Old Style" w:cs="Arial"/>
          <w:sz w:val="24"/>
          <w:szCs w:val="24"/>
        </w:rPr>
      </w:pPr>
      <w:r>
        <w:rPr>
          <w:rFonts w:ascii="Bookman Old Style" w:hAnsi="Bookman Old Style"/>
          <w:sz w:val="24"/>
        </w:rPr>
        <w:t>2.3.4.1. Charges financières (84% utilisées)</w:t>
      </w:r>
    </w:p>
    <w:p w14:paraId="7D46F18B" w14:textId="56EA24AE" w:rsidR="007F072D" w:rsidRDefault="004E0EF7" w:rsidP="00651BBF">
      <w:pPr>
        <w:spacing w:after="0" w:line="240" w:lineRule="auto"/>
        <w:ind w:left="1134" w:hanging="414"/>
        <w:jc w:val="both"/>
        <w:rPr>
          <w:rFonts w:ascii="Bookman Old Style" w:eastAsia="Calibri" w:hAnsi="Bookman Old Style" w:cs="Arial"/>
          <w:sz w:val="24"/>
          <w:szCs w:val="24"/>
        </w:rPr>
      </w:pPr>
      <w:r>
        <w:rPr>
          <w:rFonts w:ascii="Bookman Old Style" w:hAnsi="Bookman Old Style"/>
          <w:sz w:val="24"/>
        </w:rPr>
        <w:t>i.</w:t>
      </w:r>
      <w:r>
        <w:rPr>
          <w:rFonts w:ascii="Bookman Old Style" w:hAnsi="Bookman Old Style"/>
          <w:sz w:val="24"/>
        </w:rPr>
        <w:tab/>
        <w:t xml:space="preserve">Sur la base des dépenses réelles encourues à ce jour, il est maintenant évident que le budget des frais financiers a été sous-estimé. Alors que le solde au 30 septembre 2022 n'est que de $ 62 102, le total des intérêts à payer pour les six mois restants est prévu à $ 273 020, créant un déficit de $ 210 918. La projection du total des intérêts à payer pour les six mois restants est basée sur les chiffres réels tels que présentés dans le tableau ci-dessous. Le total des intérêts sur les prêts immobiliers devrait s'élever à N$ 230 481, tandis que les intérêts sur les prêts pour les véhicules à moteur sont estimés à N$ 42 539. À cet égard, il est nécessaire de modifier certaines lignes budgétaires pour combler ce déficit. </w:t>
      </w:r>
    </w:p>
    <w:p w14:paraId="058FF88A" w14:textId="77777777" w:rsidR="007F072D" w:rsidRPr="00F55B99" w:rsidRDefault="007F072D" w:rsidP="00E144FB">
      <w:pPr>
        <w:spacing w:after="0" w:line="240" w:lineRule="auto"/>
        <w:ind w:left="720"/>
        <w:jc w:val="both"/>
        <w:rPr>
          <w:rFonts w:ascii="Bookman Old Style" w:eastAsia="Calibri" w:hAnsi="Bookman Old Style" w:cs="Arial"/>
          <w:sz w:val="24"/>
          <w:szCs w:val="24"/>
          <w:lang w:bidi="en-US"/>
        </w:rPr>
      </w:pPr>
    </w:p>
    <w:p w14:paraId="174F5783" w14:textId="670DA8CA" w:rsidR="001431F1" w:rsidRDefault="004E0EF7" w:rsidP="00651BBF">
      <w:pPr>
        <w:spacing w:after="0" w:line="240" w:lineRule="auto"/>
        <w:ind w:left="1134" w:hanging="414"/>
        <w:jc w:val="both"/>
        <w:rPr>
          <w:rFonts w:ascii="Bookman Old Style" w:eastAsia="Calibri" w:hAnsi="Bookman Old Style" w:cs="Arial"/>
          <w:sz w:val="24"/>
          <w:szCs w:val="24"/>
        </w:rPr>
      </w:pPr>
      <w:r>
        <w:rPr>
          <w:rFonts w:ascii="Bookman Old Style" w:hAnsi="Bookman Old Style"/>
          <w:sz w:val="24"/>
        </w:rPr>
        <w:t>ii.</w:t>
      </w:r>
      <w:r>
        <w:rPr>
          <w:rFonts w:ascii="Bookman Old Style" w:hAnsi="Bookman Old Style"/>
          <w:sz w:val="24"/>
        </w:rPr>
        <w:tab/>
        <w:t xml:space="preserve">D'autre part, les lignes budgétaires pour le remboursement de la partie capital du prêt hypothécaire et du prêt pour véhicule à moteur présentent des soldes excédentaires projetés de N$ 167 000 et N$ 155 000 respectivement après avoir pris en compte les montants totaux des prêts à payer. </w:t>
      </w:r>
    </w:p>
    <w:p w14:paraId="5F4C00E3" w14:textId="77777777" w:rsidR="00ED50ED" w:rsidRPr="00F55B99" w:rsidRDefault="00ED50ED" w:rsidP="00E144FB">
      <w:pPr>
        <w:spacing w:after="0" w:line="240" w:lineRule="auto"/>
        <w:ind w:left="720"/>
        <w:jc w:val="both"/>
        <w:rPr>
          <w:rFonts w:ascii="Bookman Old Style" w:eastAsia="Calibri" w:hAnsi="Bookman Old Style" w:cs="Arial"/>
          <w:sz w:val="24"/>
          <w:szCs w:val="24"/>
          <w:lang w:bidi="en-US"/>
        </w:rPr>
      </w:pPr>
    </w:p>
    <w:p w14:paraId="45E1D428" w14:textId="282FAD6B" w:rsidR="00D51B93" w:rsidRDefault="004E0EF7" w:rsidP="00651BBF">
      <w:pPr>
        <w:spacing w:after="0" w:line="240" w:lineRule="auto"/>
        <w:ind w:left="1134" w:hanging="414"/>
        <w:jc w:val="both"/>
        <w:rPr>
          <w:rFonts w:ascii="Bookman Old Style" w:hAnsi="Bookman Old Style"/>
          <w:sz w:val="24"/>
        </w:rPr>
      </w:pPr>
      <w:r>
        <w:rPr>
          <w:rFonts w:ascii="Bookman Old Style" w:hAnsi="Bookman Old Style"/>
          <w:sz w:val="24"/>
        </w:rPr>
        <w:t>iii.</w:t>
      </w:r>
      <w:r>
        <w:rPr>
          <w:rFonts w:ascii="Bookman Old Style" w:hAnsi="Bookman Old Style"/>
          <w:sz w:val="24"/>
        </w:rPr>
        <w:tab/>
      </w:r>
      <w:bookmarkStart w:id="12" w:name="_Hlk116661113"/>
      <w:r>
        <w:rPr>
          <w:rFonts w:ascii="Bookman Old Style" w:hAnsi="Bookman Old Style"/>
          <w:sz w:val="24"/>
        </w:rPr>
        <w:t xml:space="preserve">Il est donc proposé ce qui suit : </w:t>
      </w:r>
    </w:p>
    <w:p w14:paraId="01CC4802" w14:textId="77777777" w:rsidR="00C0148F" w:rsidRDefault="00C0148F" w:rsidP="00651BBF">
      <w:pPr>
        <w:spacing w:after="0" w:line="240" w:lineRule="auto"/>
        <w:ind w:left="1134" w:hanging="414"/>
        <w:jc w:val="both"/>
        <w:rPr>
          <w:rFonts w:ascii="Bookman Old Style" w:eastAsia="Calibri" w:hAnsi="Bookman Old Style" w:cs="Arial"/>
          <w:sz w:val="24"/>
          <w:szCs w:val="24"/>
        </w:rPr>
      </w:pPr>
    </w:p>
    <w:p w14:paraId="283D87F1" w14:textId="18024C62" w:rsidR="00C50AD4" w:rsidRPr="00651BBF" w:rsidRDefault="00ED50ED" w:rsidP="00651BBF">
      <w:pPr>
        <w:pStyle w:val="ListParagraph"/>
        <w:numPr>
          <w:ilvl w:val="0"/>
          <w:numId w:val="34"/>
        </w:numPr>
        <w:ind w:left="1276" w:hanging="567"/>
        <w:jc w:val="both"/>
        <w:rPr>
          <w:rFonts w:ascii="Bookman Old Style" w:eastAsia="Calibri" w:hAnsi="Bookman Old Style" w:cs="Arial"/>
          <w:sz w:val="24"/>
          <w:szCs w:val="24"/>
        </w:rPr>
      </w:pPr>
      <w:r>
        <w:rPr>
          <w:rFonts w:ascii="Bookman Old Style" w:hAnsi="Bookman Old Style"/>
          <w:sz w:val="24"/>
        </w:rPr>
        <w:t>Qu'un montant de N$ 120 000 soit transféré de la ligne budgétaire du remboursement du capital de prêt immobilier à la ligne budgétaire des frais financiers.</w:t>
      </w:r>
    </w:p>
    <w:p w14:paraId="66DC28BE" w14:textId="77777777" w:rsidR="00651BBF" w:rsidRPr="00C4440E" w:rsidRDefault="00651BBF" w:rsidP="00651BBF">
      <w:pPr>
        <w:pStyle w:val="ListParagraph"/>
        <w:ind w:left="1276" w:firstLine="0"/>
        <w:jc w:val="both"/>
        <w:rPr>
          <w:rFonts w:ascii="Bookman Old Style" w:eastAsia="Calibri" w:hAnsi="Bookman Old Style" w:cs="Arial"/>
          <w:sz w:val="24"/>
          <w:szCs w:val="24"/>
        </w:rPr>
      </w:pPr>
    </w:p>
    <w:p w14:paraId="435518B4" w14:textId="122BBD8F" w:rsidR="00651BBF" w:rsidRPr="00651BBF" w:rsidRDefault="00C50AD4" w:rsidP="00651BBF">
      <w:pPr>
        <w:pStyle w:val="ListParagraph"/>
        <w:numPr>
          <w:ilvl w:val="0"/>
          <w:numId w:val="34"/>
        </w:numPr>
        <w:ind w:left="1276" w:hanging="567"/>
        <w:jc w:val="both"/>
        <w:rPr>
          <w:rFonts w:ascii="Bookman Old Style" w:eastAsia="Calibri" w:hAnsi="Bookman Old Style" w:cs="Arial"/>
          <w:sz w:val="24"/>
          <w:szCs w:val="24"/>
        </w:rPr>
      </w:pPr>
      <w:r>
        <w:rPr>
          <w:rFonts w:ascii="Bookman Old Style" w:hAnsi="Bookman Old Style"/>
          <w:sz w:val="24"/>
        </w:rPr>
        <w:t>Qu'un montant de N$ 100 000 soit transféré de la ligne budgétaire du remboursement du capital des véhicules à moteur à la ligne budgétaire des frais financiers.</w:t>
      </w:r>
    </w:p>
    <w:p w14:paraId="18581423" w14:textId="77777777" w:rsidR="00651BBF" w:rsidRPr="00651BBF" w:rsidRDefault="00651BBF" w:rsidP="00651BBF">
      <w:pPr>
        <w:pStyle w:val="ListParagraph"/>
        <w:ind w:left="1276" w:firstLine="0"/>
        <w:jc w:val="both"/>
        <w:rPr>
          <w:rFonts w:ascii="Bookman Old Style" w:eastAsia="Calibri" w:hAnsi="Bookman Old Style" w:cs="Arial"/>
          <w:sz w:val="24"/>
          <w:szCs w:val="24"/>
        </w:rPr>
      </w:pPr>
    </w:p>
    <w:p w14:paraId="4039B1A8" w14:textId="3313C422" w:rsidR="00D66127" w:rsidRPr="00FF0FF7" w:rsidRDefault="00AE1FB3" w:rsidP="00651BBF">
      <w:pPr>
        <w:pStyle w:val="ListParagraph"/>
        <w:numPr>
          <w:ilvl w:val="0"/>
          <w:numId w:val="34"/>
        </w:numPr>
        <w:ind w:left="1276" w:hanging="567"/>
        <w:jc w:val="both"/>
        <w:rPr>
          <w:rFonts w:ascii="Bookman Old Style" w:eastAsia="Calibri" w:hAnsi="Bookman Old Style" w:cs="Arial"/>
          <w:sz w:val="24"/>
          <w:szCs w:val="24"/>
        </w:rPr>
      </w:pPr>
      <w:r>
        <w:rPr>
          <w:rFonts w:ascii="Bookman Old Style" w:hAnsi="Bookman Old Style"/>
          <w:sz w:val="24"/>
        </w:rPr>
        <w:lastRenderedPageBreak/>
        <w:t>Le montant total de N$220 000 devrait être une provision suffisante pour couvrir le déficit.</w:t>
      </w:r>
      <w:bookmarkEnd w:id="12"/>
    </w:p>
    <w:p w14:paraId="5A1795EC" w14:textId="6DB16D38" w:rsidR="00C4440E" w:rsidRPr="00F55B99" w:rsidRDefault="00C4440E" w:rsidP="006B202E">
      <w:pPr>
        <w:spacing w:after="0" w:line="240" w:lineRule="auto"/>
        <w:ind w:left="720" w:firstLine="720"/>
        <w:jc w:val="both"/>
        <w:rPr>
          <w:rFonts w:ascii="Bookman Old Style" w:eastAsia="Calibri" w:hAnsi="Bookman Old Style" w:cs="Arial"/>
          <w:sz w:val="24"/>
          <w:szCs w:val="24"/>
          <w:lang w:bidi="en-US"/>
        </w:rPr>
      </w:pPr>
    </w:p>
    <w:p w14:paraId="313B0068" w14:textId="18DBF297" w:rsidR="00E144FB" w:rsidRPr="00C2451F" w:rsidRDefault="00C4440E" w:rsidP="00651BBF">
      <w:pPr>
        <w:spacing w:after="0" w:line="240" w:lineRule="auto"/>
        <w:ind w:hanging="11"/>
        <w:jc w:val="both"/>
        <w:rPr>
          <w:rFonts w:ascii="Bookman Old Style" w:eastAsia="Calibri" w:hAnsi="Bookman Old Style" w:cs="Arial"/>
          <w:sz w:val="24"/>
          <w:szCs w:val="24"/>
          <w:u w:val="single"/>
        </w:rPr>
      </w:pPr>
      <w:r>
        <w:rPr>
          <w:rFonts w:ascii="Bookman Old Style" w:hAnsi="Bookman Old Style"/>
          <w:sz w:val="24"/>
          <w:u w:val="single"/>
        </w:rPr>
        <w:t>Tableau des remboursements effectifs des prêts : D'avril à septembre 2022 (N$)</w:t>
      </w:r>
    </w:p>
    <w:p w14:paraId="03CB07E4" w14:textId="5CD77D44" w:rsidR="00805E07" w:rsidRPr="00DB08B6" w:rsidRDefault="00805E07" w:rsidP="00FF0FF7">
      <w:pPr>
        <w:spacing w:after="0" w:line="240" w:lineRule="auto"/>
        <w:ind w:left="720" w:firstLine="720"/>
        <w:jc w:val="both"/>
        <w:rPr>
          <w:rFonts w:ascii="Bookman Old Style" w:eastAsia="Calibri" w:hAnsi="Bookman Old Style" w:cs="Arial"/>
          <w:sz w:val="24"/>
          <w:szCs w:val="24"/>
          <w:lang w:bidi="en-US"/>
        </w:rPr>
      </w:pPr>
    </w:p>
    <w:p w14:paraId="488B520E" w14:textId="77777777" w:rsidR="00C2451F" w:rsidRDefault="00C2451F" w:rsidP="00C2451F">
      <w:pPr>
        <w:spacing w:after="0" w:line="240" w:lineRule="auto"/>
        <w:ind w:left="720" w:firstLine="720"/>
        <w:jc w:val="both"/>
      </w:pPr>
      <w:r>
        <w:rPr>
          <w:rFonts w:ascii="Bookman Old Style" w:eastAsia="Calibri" w:hAnsi="Bookman Old Style" w:cs="Arial"/>
          <w:sz w:val="24"/>
          <w:szCs w:val="24"/>
          <w:lang w:val="en-GB" w:bidi="en-US"/>
        </w:rPr>
        <w:fldChar w:fldCharType="begin"/>
      </w:r>
      <w:r w:rsidRPr="00DB08B6">
        <w:rPr>
          <w:rFonts w:ascii="Bookman Old Style" w:eastAsia="Calibri" w:hAnsi="Bookman Old Style" w:cs="Arial"/>
          <w:sz w:val="24"/>
          <w:szCs w:val="24"/>
          <w:lang w:bidi="en-US"/>
        </w:rPr>
        <w:instrText xml:space="preserve"> LINK Excel.Sheet.12 "https://sadcparliament-my.sharepoint.com/personal/ymungandi_sadcpf_org/Documents/Documents/2022 FINANCE SUB COMMITTEE/SG'S REPORTS/NOV 2022/2022 Mortgage and MV Loan Repayments.xlsx" Sheet1!R2C2:R10C8 \a \f 4 \h  \* MERGEFORMAT </w:instrText>
      </w:r>
      <w:r>
        <w:rPr>
          <w:rFonts w:ascii="Bookman Old Style" w:eastAsia="Calibri" w:hAnsi="Bookman Old Style" w:cs="Arial"/>
          <w:sz w:val="24"/>
          <w:szCs w:val="24"/>
          <w:lang w:val="en-GB" w:bidi="en-US"/>
        </w:rPr>
        <w:fldChar w:fldCharType="separate"/>
      </w:r>
    </w:p>
    <w:tbl>
      <w:tblPr>
        <w:tblW w:w="8136" w:type="dxa"/>
        <w:tblLook w:val="04A0" w:firstRow="1" w:lastRow="0" w:firstColumn="1" w:lastColumn="0" w:noHBand="0" w:noVBand="1"/>
      </w:tblPr>
      <w:tblGrid>
        <w:gridCol w:w="1162"/>
        <w:gridCol w:w="1162"/>
        <w:gridCol w:w="1162"/>
        <w:gridCol w:w="1163"/>
        <w:gridCol w:w="1162"/>
        <w:gridCol w:w="1162"/>
        <w:gridCol w:w="1163"/>
      </w:tblGrid>
      <w:tr w:rsidR="00C2451F" w:rsidRPr="00E144FB" w14:paraId="6C1563AD" w14:textId="77777777" w:rsidTr="001B15B2">
        <w:trPr>
          <w:trHeight w:val="294"/>
        </w:trPr>
        <w:tc>
          <w:tcPr>
            <w:tcW w:w="1162" w:type="dxa"/>
            <w:tcBorders>
              <w:top w:val="single" w:sz="8" w:space="0" w:color="auto"/>
              <w:left w:val="single" w:sz="8" w:space="0" w:color="auto"/>
              <w:bottom w:val="nil"/>
              <w:right w:val="single" w:sz="8" w:space="0" w:color="auto"/>
            </w:tcBorders>
            <w:shd w:val="clear" w:color="auto" w:fill="auto"/>
            <w:noWrap/>
            <w:vAlign w:val="bottom"/>
            <w:hideMark/>
          </w:tcPr>
          <w:p w14:paraId="23D7CE76" w14:textId="77777777" w:rsidR="00C2451F" w:rsidRPr="00E144FB" w:rsidRDefault="00C2451F" w:rsidP="001B15B2">
            <w:pPr>
              <w:rPr>
                <w:rFonts w:ascii="Calibri" w:eastAsia="Times New Roman" w:hAnsi="Calibri" w:cs="Calibri"/>
                <w:color w:val="000000"/>
              </w:rPr>
            </w:pPr>
            <w:r w:rsidRPr="00E144FB">
              <w:rPr>
                <w:rFonts w:ascii="Calibri" w:eastAsia="Times New Roman" w:hAnsi="Calibri" w:cs="Calibri"/>
                <w:color w:val="000000"/>
              </w:rPr>
              <w:t> </w:t>
            </w:r>
          </w:p>
        </w:tc>
        <w:tc>
          <w:tcPr>
            <w:tcW w:w="348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29184382" w14:textId="7101002A" w:rsidR="00C2451F" w:rsidRPr="00E144FB" w:rsidRDefault="00DB08B6" w:rsidP="001B15B2">
            <w:pPr>
              <w:spacing w:after="0" w:line="240" w:lineRule="auto"/>
              <w:jc w:val="center"/>
              <w:rPr>
                <w:rFonts w:ascii="Calibri" w:eastAsia="Times New Roman" w:hAnsi="Calibri" w:cs="Calibri"/>
                <w:color w:val="000000"/>
              </w:rPr>
            </w:pPr>
            <w:r>
              <w:rPr>
                <w:rFonts w:ascii="Calibri" w:eastAsia="Times New Roman" w:hAnsi="Calibri" w:cs="Calibri"/>
                <w:color w:val="000000"/>
              </w:rPr>
              <w:t>Prêt immobilier</w:t>
            </w:r>
          </w:p>
        </w:tc>
        <w:tc>
          <w:tcPr>
            <w:tcW w:w="348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22E2A660" w14:textId="0E97CB53" w:rsidR="00C2451F" w:rsidRPr="00E144FB" w:rsidRDefault="00C2451F" w:rsidP="001B15B2">
            <w:pPr>
              <w:spacing w:after="0" w:line="240" w:lineRule="auto"/>
              <w:jc w:val="center"/>
              <w:rPr>
                <w:rFonts w:ascii="Calibri" w:eastAsia="Times New Roman" w:hAnsi="Calibri" w:cs="Calibri"/>
                <w:color w:val="000000"/>
              </w:rPr>
            </w:pPr>
            <w:r w:rsidRPr="00E144FB">
              <w:rPr>
                <w:rFonts w:ascii="Calibri" w:eastAsia="Times New Roman" w:hAnsi="Calibri" w:cs="Calibri"/>
                <w:color w:val="000000"/>
              </w:rPr>
              <w:t>C</w:t>
            </w:r>
            <w:r w:rsidR="00DB08B6">
              <w:rPr>
                <w:rFonts w:ascii="Calibri" w:eastAsia="Times New Roman" w:hAnsi="Calibri" w:cs="Calibri"/>
                <w:color w:val="000000"/>
              </w:rPr>
              <w:t>rédit auto</w:t>
            </w:r>
          </w:p>
        </w:tc>
      </w:tr>
      <w:tr w:rsidR="00C2451F" w:rsidRPr="00E144FB" w14:paraId="6091CD33" w14:textId="77777777" w:rsidTr="001B15B2">
        <w:trPr>
          <w:trHeight w:val="294"/>
        </w:trPr>
        <w:tc>
          <w:tcPr>
            <w:tcW w:w="1162" w:type="dxa"/>
            <w:tcBorders>
              <w:top w:val="nil"/>
              <w:left w:val="single" w:sz="8" w:space="0" w:color="auto"/>
              <w:bottom w:val="single" w:sz="8" w:space="0" w:color="auto"/>
              <w:right w:val="single" w:sz="8" w:space="0" w:color="auto"/>
            </w:tcBorders>
            <w:shd w:val="clear" w:color="auto" w:fill="auto"/>
            <w:noWrap/>
            <w:vAlign w:val="bottom"/>
            <w:hideMark/>
          </w:tcPr>
          <w:p w14:paraId="0B9DC389" w14:textId="5EAC8EA3" w:rsidR="00C2451F" w:rsidRPr="00E144FB" w:rsidRDefault="00DB08B6" w:rsidP="001B15B2">
            <w:pPr>
              <w:spacing w:after="0" w:line="240" w:lineRule="auto"/>
              <w:rPr>
                <w:rFonts w:ascii="Calibri" w:eastAsia="Times New Roman" w:hAnsi="Calibri" w:cs="Calibri"/>
                <w:color w:val="000000"/>
              </w:rPr>
            </w:pPr>
            <w:r>
              <w:rPr>
                <w:rFonts w:ascii="Calibri" w:eastAsia="Times New Roman" w:hAnsi="Calibri" w:cs="Calibri"/>
                <w:color w:val="000000"/>
              </w:rPr>
              <w:t>Mois</w:t>
            </w:r>
          </w:p>
        </w:tc>
        <w:tc>
          <w:tcPr>
            <w:tcW w:w="1162" w:type="dxa"/>
            <w:tcBorders>
              <w:top w:val="nil"/>
              <w:left w:val="nil"/>
              <w:bottom w:val="single" w:sz="8" w:space="0" w:color="auto"/>
              <w:right w:val="nil"/>
            </w:tcBorders>
            <w:shd w:val="clear" w:color="auto" w:fill="auto"/>
            <w:noWrap/>
            <w:vAlign w:val="bottom"/>
            <w:hideMark/>
          </w:tcPr>
          <w:p w14:paraId="3E631099" w14:textId="60D85F12" w:rsidR="00C2451F" w:rsidRPr="00E144FB" w:rsidRDefault="00DB08B6"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Intér</w:t>
            </w:r>
            <w:r>
              <w:rPr>
                <w:rFonts w:ascii="Calibri" w:eastAsia="Times New Roman" w:hAnsi="Calibri" w:cs="Calibri"/>
                <w:color w:val="000000"/>
              </w:rPr>
              <w:t>êt</w:t>
            </w:r>
          </w:p>
        </w:tc>
        <w:tc>
          <w:tcPr>
            <w:tcW w:w="1162" w:type="dxa"/>
            <w:tcBorders>
              <w:top w:val="nil"/>
              <w:left w:val="single" w:sz="8" w:space="0" w:color="auto"/>
              <w:bottom w:val="single" w:sz="8" w:space="0" w:color="auto"/>
              <w:right w:val="single" w:sz="8" w:space="0" w:color="auto"/>
            </w:tcBorders>
            <w:shd w:val="clear" w:color="auto" w:fill="auto"/>
            <w:noWrap/>
            <w:vAlign w:val="bottom"/>
            <w:hideMark/>
          </w:tcPr>
          <w:p w14:paraId="79808F67"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Capital</w:t>
            </w:r>
          </w:p>
        </w:tc>
        <w:tc>
          <w:tcPr>
            <w:tcW w:w="1162" w:type="dxa"/>
            <w:tcBorders>
              <w:top w:val="nil"/>
              <w:left w:val="nil"/>
              <w:bottom w:val="single" w:sz="8" w:space="0" w:color="auto"/>
              <w:right w:val="nil"/>
            </w:tcBorders>
            <w:shd w:val="clear" w:color="auto" w:fill="auto"/>
            <w:noWrap/>
            <w:vAlign w:val="bottom"/>
            <w:hideMark/>
          </w:tcPr>
          <w:p w14:paraId="540A49BE"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Total</w:t>
            </w:r>
          </w:p>
        </w:tc>
        <w:tc>
          <w:tcPr>
            <w:tcW w:w="1162" w:type="dxa"/>
            <w:tcBorders>
              <w:top w:val="nil"/>
              <w:left w:val="single" w:sz="8" w:space="0" w:color="auto"/>
              <w:bottom w:val="single" w:sz="8" w:space="0" w:color="auto"/>
              <w:right w:val="single" w:sz="8" w:space="0" w:color="auto"/>
            </w:tcBorders>
            <w:shd w:val="clear" w:color="auto" w:fill="auto"/>
            <w:noWrap/>
            <w:vAlign w:val="bottom"/>
            <w:hideMark/>
          </w:tcPr>
          <w:p w14:paraId="29BBEA72" w14:textId="0350EDCE" w:rsidR="00C2451F" w:rsidRPr="00E144FB" w:rsidRDefault="00DB08B6"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Intér</w:t>
            </w:r>
            <w:r>
              <w:rPr>
                <w:rFonts w:ascii="Calibri" w:eastAsia="Times New Roman" w:hAnsi="Calibri" w:cs="Calibri"/>
                <w:color w:val="000000"/>
              </w:rPr>
              <w:t>êt</w:t>
            </w:r>
          </w:p>
        </w:tc>
        <w:tc>
          <w:tcPr>
            <w:tcW w:w="1162" w:type="dxa"/>
            <w:tcBorders>
              <w:top w:val="nil"/>
              <w:left w:val="nil"/>
              <w:bottom w:val="single" w:sz="8" w:space="0" w:color="auto"/>
              <w:right w:val="nil"/>
            </w:tcBorders>
            <w:shd w:val="clear" w:color="auto" w:fill="auto"/>
            <w:noWrap/>
            <w:vAlign w:val="bottom"/>
            <w:hideMark/>
          </w:tcPr>
          <w:p w14:paraId="291DEAE3"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Capital</w:t>
            </w:r>
          </w:p>
        </w:tc>
        <w:tc>
          <w:tcPr>
            <w:tcW w:w="1162" w:type="dxa"/>
            <w:tcBorders>
              <w:top w:val="nil"/>
              <w:left w:val="nil"/>
              <w:bottom w:val="single" w:sz="8" w:space="0" w:color="auto"/>
              <w:right w:val="single" w:sz="8" w:space="0" w:color="auto"/>
            </w:tcBorders>
            <w:shd w:val="clear" w:color="auto" w:fill="auto"/>
            <w:noWrap/>
            <w:vAlign w:val="bottom"/>
            <w:hideMark/>
          </w:tcPr>
          <w:p w14:paraId="7BC8C746"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Total</w:t>
            </w:r>
          </w:p>
        </w:tc>
      </w:tr>
      <w:tr w:rsidR="00C2451F" w:rsidRPr="00E144FB" w14:paraId="5E183B58" w14:textId="77777777" w:rsidTr="001B15B2">
        <w:trPr>
          <w:trHeight w:val="283"/>
        </w:trPr>
        <w:tc>
          <w:tcPr>
            <w:tcW w:w="1162" w:type="dxa"/>
            <w:tcBorders>
              <w:top w:val="nil"/>
              <w:left w:val="single" w:sz="8" w:space="0" w:color="auto"/>
              <w:bottom w:val="nil"/>
              <w:right w:val="single" w:sz="8" w:space="0" w:color="auto"/>
            </w:tcBorders>
            <w:shd w:val="clear" w:color="auto" w:fill="auto"/>
            <w:noWrap/>
            <w:vAlign w:val="bottom"/>
            <w:hideMark/>
          </w:tcPr>
          <w:p w14:paraId="547A18A2" w14:textId="77777777" w:rsidR="00C2451F" w:rsidRPr="00E144FB" w:rsidRDefault="00C2451F" w:rsidP="001B15B2">
            <w:pPr>
              <w:spacing w:after="0" w:line="240" w:lineRule="auto"/>
              <w:jc w:val="right"/>
              <w:rPr>
                <w:rFonts w:ascii="Calibri" w:eastAsia="Times New Roman" w:hAnsi="Calibri" w:cs="Calibri"/>
                <w:color w:val="000000"/>
              </w:rPr>
            </w:pPr>
            <w:r w:rsidRPr="00E144FB">
              <w:rPr>
                <w:rFonts w:ascii="Calibri" w:eastAsia="Times New Roman" w:hAnsi="Calibri" w:cs="Calibri"/>
                <w:color w:val="000000"/>
              </w:rPr>
              <w:t>Apr-22</w:t>
            </w:r>
          </w:p>
        </w:tc>
        <w:tc>
          <w:tcPr>
            <w:tcW w:w="1162" w:type="dxa"/>
            <w:tcBorders>
              <w:top w:val="nil"/>
              <w:left w:val="nil"/>
              <w:bottom w:val="nil"/>
              <w:right w:val="single" w:sz="8" w:space="0" w:color="auto"/>
            </w:tcBorders>
            <w:shd w:val="clear" w:color="auto" w:fill="auto"/>
            <w:noWrap/>
            <w:vAlign w:val="bottom"/>
            <w:hideMark/>
          </w:tcPr>
          <w:p w14:paraId="6B0FE966"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37,434 </w:t>
            </w:r>
          </w:p>
        </w:tc>
        <w:tc>
          <w:tcPr>
            <w:tcW w:w="1162" w:type="dxa"/>
            <w:tcBorders>
              <w:top w:val="nil"/>
              <w:left w:val="nil"/>
              <w:bottom w:val="nil"/>
              <w:right w:val="single" w:sz="8" w:space="0" w:color="auto"/>
            </w:tcBorders>
            <w:shd w:val="clear" w:color="auto" w:fill="auto"/>
            <w:noWrap/>
            <w:vAlign w:val="bottom"/>
            <w:hideMark/>
          </w:tcPr>
          <w:p w14:paraId="5C79D322"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37,354 </w:t>
            </w:r>
          </w:p>
        </w:tc>
        <w:tc>
          <w:tcPr>
            <w:tcW w:w="1162" w:type="dxa"/>
            <w:tcBorders>
              <w:top w:val="nil"/>
              <w:left w:val="nil"/>
              <w:bottom w:val="nil"/>
              <w:right w:val="single" w:sz="8" w:space="0" w:color="auto"/>
            </w:tcBorders>
            <w:shd w:val="clear" w:color="auto" w:fill="auto"/>
            <w:noWrap/>
            <w:vAlign w:val="bottom"/>
            <w:hideMark/>
          </w:tcPr>
          <w:p w14:paraId="48A59A8A"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74,788 </w:t>
            </w:r>
          </w:p>
        </w:tc>
        <w:tc>
          <w:tcPr>
            <w:tcW w:w="1162" w:type="dxa"/>
            <w:tcBorders>
              <w:top w:val="nil"/>
              <w:left w:val="nil"/>
              <w:bottom w:val="nil"/>
              <w:right w:val="single" w:sz="8" w:space="0" w:color="auto"/>
            </w:tcBorders>
            <w:shd w:val="clear" w:color="auto" w:fill="auto"/>
            <w:noWrap/>
            <w:vAlign w:val="bottom"/>
            <w:hideMark/>
          </w:tcPr>
          <w:p w14:paraId="14267C26"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7,052 </w:t>
            </w:r>
          </w:p>
        </w:tc>
        <w:tc>
          <w:tcPr>
            <w:tcW w:w="1162" w:type="dxa"/>
            <w:tcBorders>
              <w:top w:val="nil"/>
              <w:left w:val="nil"/>
              <w:bottom w:val="nil"/>
              <w:right w:val="single" w:sz="8" w:space="0" w:color="auto"/>
            </w:tcBorders>
            <w:shd w:val="clear" w:color="auto" w:fill="auto"/>
            <w:noWrap/>
            <w:vAlign w:val="bottom"/>
            <w:hideMark/>
          </w:tcPr>
          <w:p w14:paraId="23757361"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16,900 </w:t>
            </w:r>
          </w:p>
        </w:tc>
        <w:tc>
          <w:tcPr>
            <w:tcW w:w="1162" w:type="dxa"/>
            <w:tcBorders>
              <w:top w:val="nil"/>
              <w:left w:val="nil"/>
              <w:bottom w:val="nil"/>
              <w:right w:val="single" w:sz="8" w:space="0" w:color="auto"/>
            </w:tcBorders>
            <w:shd w:val="clear" w:color="auto" w:fill="auto"/>
            <w:noWrap/>
            <w:vAlign w:val="bottom"/>
            <w:hideMark/>
          </w:tcPr>
          <w:p w14:paraId="6BD82534"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23,952 </w:t>
            </w:r>
          </w:p>
        </w:tc>
      </w:tr>
      <w:tr w:rsidR="00C2451F" w:rsidRPr="00E144FB" w14:paraId="31C38277" w14:textId="77777777" w:rsidTr="001B15B2">
        <w:trPr>
          <w:trHeight w:val="283"/>
        </w:trPr>
        <w:tc>
          <w:tcPr>
            <w:tcW w:w="1162" w:type="dxa"/>
            <w:tcBorders>
              <w:top w:val="nil"/>
              <w:left w:val="single" w:sz="8" w:space="0" w:color="auto"/>
              <w:bottom w:val="nil"/>
              <w:right w:val="single" w:sz="8" w:space="0" w:color="auto"/>
            </w:tcBorders>
            <w:shd w:val="clear" w:color="auto" w:fill="auto"/>
            <w:noWrap/>
            <w:vAlign w:val="bottom"/>
            <w:hideMark/>
          </w:tcPr>
          <w:p w14:paraId="62A977C2" w14:textId="77777777" w:rsidR="00C2451F" w:rsidRPr="00E144FB" w:rsidRDefault="00C2451F" w:rsidP="001B15B2">
            <w:pPr>
              <w:spacing w:after="0" w:line="240" w:lineRule="auto"/>
              <w:jc w:val="right"/>
              <w:rPr>
                <w:rFonts w:ascii="Calibri" w:eastAsia="Times New Roman" w:hAnsi="Calibri" w:cs="Calibri"/>
                <w:color w:val="000000"/>
              </w:rPr>
            </w:pPr>
            <w:r w:rsidRPr="00E144FB">
              <w:rPr>
                <w:rFonts w:ascii="Calibri" w:eastAsia="Times New Roman" w:hAnsi="Calibri" w:cs="Calibri"/>
                <w:color w:val="000000"/>
              </w:rPr>
              <w:t>May-22</w:t>
            </w:r>
          </w:p>
        </w:tc>
        <w:tc>
          <w:tcPr>
            <w:tcW w:w="1162" w:type="dxa"/>
            <w:tcBorders>
              <w:top w:val="nil"/>
              <w:left w:val="nil"/>
              <w:bottom w:val="nil"/>
              <w:right w:val="single" w:sz="8" w:space="0" w:color="auto"/>
            </w:tcBorders>
            <w:shd w:val="clear" w:color="auto" w:fill="auto"/>
            <w:noWrap/>
            <w:vAlign w:val="bottom"/>
            <w:hideMark/>
          </w:tcPr>
          <w:p w14:paraId="1A6430AF"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36,298 </w:t>
            </w:r>
          </w:p>
        </w:tc>
        <w:tc>
          <w:tcPr>
            <w:tcW w:w="1162" w:type="dxa"/>
            <w:tcBorders>
              <w:top w:val="nil"/>
              <w:left w:val="nil"/>
              <w:bottom w:val="nil"/>
              <w:right w:val="single" w:sz="8" w:space="0" w:color="auto"/>
            </w:tcBorders>
            <w:shd w:val="clear" w:color="auto" w:fill="auto"/>
            <w:noWrap/>
            <w:vAlign w:val="bottom"/>
            <w:hideMark/>
          </w:tcPr>
          <w:p w14:paraId="10AC6FEF"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39,205 </w:t>
            </w:r>
          </w:p>
        </w:tc>
        <w:tc>
          <w:tcPr>
            <w:tcW w:w="1162" w:type="dxa"/>
            <w:tcBorders>
              <w:top w:val="nil"/>
              <w:left w:val="nil"/>
              <w:bottom w:val="nil"/>
              <w:right w:val="single" w:sz="8" w:space="0" w:color="auto"/>
            </w:tcBorders>
            <w:shd w:val="clear" w:color="auto" w:fill="auto"/>
            <w:noWrap/>
            <w:vAlign w:val="bottom"/>
            <w:hideMark/>
          </w:tcPr>
          <w:p w14:paraId="424EECCE"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75,503 </w:t>
            </w:r>
          </w:p>
        </w:tc>
        <w:tc>
          <w:tcPr>
            <w:tcW w:w="1162" w:type="dxa"/>
            <w:tcBorders>
              <w:top w:val="nil"/>
              <w:left w:val="nil"/>
              <w:bottom w:val="nil"/>
              <w:right w:val="single" w:sz="8" w:space="0" w:color="auto"/>
            </w:tcBorders>
            <w:shd w:val="clear" w:color="auto" w:fill="auto"/>
            <w:noWrap/>
            <w:vAlign w:val="bottom"/>
            <w:hideMark/>
          </w:tcPr>
          <w:p w14:paraId="68DF7187"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7,127 </w:t>
            </w:r>
          </w:p>
        </w:tc>
        <w:tc>
          <w:tcPr>
            <w:tcW w:w="1162" w:type="dxa"/>
            <w:tcBorders>
              <w:top w:val="nil"/>
              <w:left w:val="nil"/>
              <w:bottom w:val="nil"/>
              <w:right w:val="single" w:sz="8" w:space="0" w:color="auto"/>
            </w:tcBorders>
            <w:shd w:val="clear" w:color="auto" w:fill="auto"/>
            <w:noWrap/>
            <w:vAlign w:val="bottom"/>
            <w:hideMark/>
          </w:tcPr>
          <w:p w14:paraId="5F1327F3"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16,825 </w:t>
            </w:r>
          </w:p>
        </w:tc>
        <w:tc>
          <w:tcPr>
            <w:tcW w:w="1162" w:type="dxa"/>
            <w:tcBorders>
              <w:top w:val="nil"/>
              <w:left w:val="nil"/>
              <w:bottom w:val="nil"/>
              <w:right w:val="single" w:sz="8" w:space="0" w:color="auto"/>
            </w:tcBorders>
            <w:shd w:val="clear" w:color="auto" w:fill="auto"/>
            <w:noWrap/>
            <w:vAlign w:val="bottom"/>
            <w:hideMark/>
          </w:tcPr>
          <w:p w14:paraId="7CF0824B"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23,952 </w:t>
            </w:r>
          </w:p>
        </w:tc>
      </w:tr>
      <w:tr w:rsidR="00C2451F" w:rsidRPr="00E144FB" w14:paraId="2E39F99E" w14:textId="77777777" w:rsidTr="001B15B2">
        <w:trPr>
          <w:trHeight w:val="283"/>
        </w:trPr>
        <w:tc>
          <w:tcPr>
            <w:tcW w:w="1162" w:type="dxa"/>
            <w:tcBorders>
              <w:top w:val="nil"/>
              <w:left w:val="single" w:sz="8" w:space="0" w:color="auto"/>
              <w:bottom w:val="nil"/>
              <w:right w:val="single" w:sz="8" w:space="0" w:color="auto"/>
            </w:tcBorders>
            <w:shd w:val="clear" w:color="auto" w:fill="auto"/>
            <w:noWrap/>
            <w:vAlign w:val="bottom"/>
            <w:hideMark/>
          </w:tcPr>
          <w:p w14:paraId="3470D597" w14:textId="77777777" w:rsidR="00C2451F" w:rsidRPr="00E144FB" w:rsidRDefault="00C2451F" w:rsidP="001B15B2">
            <w:pPr>
              <w:spacing w:after="0" w:line="240" w:lineRule="auto"/>
              <w:jc w:val="right"/>
              <w:rPr>
                <w:rFonts w:ascii="Calibri" w:eastAsia="Times New Roman" w:hAnsi="Calibri" w:cs="Calibri"/>
                <w:color w:val="000000"/>
              </w:rPr>
            </w:pPr>
            <w:r w:rsidRPr="00E144FB">
              <w:rPr>
                <w:rFonts w:ascii="Calibri" w:eastAsia="Times New Roman" w:hAnsi="Calibri" w:cs="Calibri"/>
                <w:color w:val="000000"/>
              </w:rPr>
              <w:t>Jun-22</w:t>
            </w:r>
          </w:p>
        </w:tc>
        <w:tc>
          <w:tcPr>
            <w:tcW w:w="1162" w:type="dxa"/>
            <w:tcBorders>
              <w:top w:val="nil"/>
              <w:left w:val="nil"/>
              <w:bottom w:val="nil"/>
              <w:right w:val="single" w:sz="8" w:space="0" w:color="auto"/>
            </w:tcBorders>
            <w:shd w:val="clear" w:color="auto" w:fill="auto"/>
            <w:noWrap/>
            <w:vAlign w:val="bottom"/>
            <w:hideMark/>
          </w:tcPr>
          <w:p w14:paraId="67BECAD5"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38,121 </w:t>
            </w:r>
          </w:p>
        </w:tc>
        <w:tc>
          <w:tcPr>
            <w:tcW w:w="1162" w:type="dxa"/>
            <w:tcBorders>
              <w:top w:val="nil"/>
              <w:left w:val="nil"/>
              <w:bottom w:val="nil"/>
              <w:right w:val="single" w:sz="8" w:space="0" w:color="auto"/>
            </w:tcBorders>
            <w:shd w:val="clear" w:color="auto" w:fill="auto"/>
            <w:noWrap/>
            <w:vAlign w:val="bottom"/>
            <w:hideMark/>
          </w:tcPr>
          <w:p w14:paraId="1D784A70"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37,381 </w:t>
            </w:r>
          </w:p>
        </w:tc>
        <w:tc>
          <w:tcPr>
            <w:tcW w:w="1162" w:type="dxa"/>
            <w:tcBorders>
              <w:top w:val="nil"/>
              <w:left w:val="nil"/>
              <w:bottom w:val="nil"/>
              <w:right w:val="single" w:sz="8" w:space="0" w:color="auto"/>
            </w:tcBorders>
            <w:shd w:val="clear" w:color="auto" w:fill="auto"/>
            <w:noWrap/>
            <w:vAlign w:val="bottom"/>
            <w:hideMark/>
          </w:tcPr>
          <w:p w14:paraId="2ACC643C"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75,503 </w:t>
            </w:r>
          </w:p>
        </w:tc>
        <w:tc>
          <w:tcPr>
            <w:tcW w:w="1162" w:type="dxa"/>
            <w:tcBorders>
              <w:top w:val="nil"/>
              <w:left w:val="nil"/>
              <w:bottom w:val="nil"/>
              <w:right w:val="single" w:sz="8" w:space="0" w:color="auto"/>
            </w:tcBorders>
            <w:shd w:val="clear" w:color="auto" w:fill="auto"/>
            <w:noWrap/>
            <w:vAlign w:val="bottom"/>
            <w:hideMark/>
          </w:tcPr>
          <w:p w14:paraId="7E2E1873"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7,000 </w:t>
            </w:r>
          </w:p>
        </w:tc>
        <w:tc>
          <w:tcPr>
            <w:tcW w:w="1162" w:type="dxa"/>
            <w:tcBorders>
              <w:top w:val="nil"/>
              <w:left w:val="nil"/>
              <w:bottom w:val="nil"/>
              <w:right w:val="single" w:sz="8" w:space="0" w:color="auto"/>
            </w:tcBorders>
            <w:shd w:val="clear" w:color="auto" w:fill="auto"/>
            <w:noWrap/>
            <w:vAlign w:val="bottom"/>
            <w:hideMark/>
          </w:tcPr>
          <w:p w14:paraId="496CFEFE"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17,070 </w:t>
            </w:r>
          </w:p>
        </w:tc>
        <w:tc>
          <w:tcPr>
            <w:tcW w:w="1162" w:type="dxa"/>
            <w:tcBorders>
              <w:top w:val="nil"/>
              <w:left w:val="nil"/>
              <w:bottom w:val="nil"/>
              <w:right w:val="single" w:sz="8" w:space="0" w:color="auto"/>
            </w:tcBorders>
            <w:shd w:val="clear" w:color="auto" w:fill="auto"/>
            <w:noWrap/>
            <w:vAlign w:val="bottom"/>
            <w:hideMark/>
          </w:tcPr>
          <w:p w14:paraId="757F42FE"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24,070 </w:t>
            </w:r>
          </w:p>
        </w:tc>
      </w:tr>
      <w:tr w:rsidR="00C2451F" w:rsidRPr="00E144FB" w14:paraId="066663F2" w14:textId="77777777" w:rsidTr="001B15B2">
        <w:trPr>
          <w:trHeight w:val="283"/>
        </w:trPr>
        <w:tc>
          <w:tcPr>
            <w:tcW w:w="1162" w:type="dxa"/>
            <w:tcBorders>
              <w:top w:val="nil"/>
              <w:left w:val="single" w:sz="8" w:space="0" w:color="auto"/>
              <w:bottom w:val="nil"/>
              <w:right w:val="single" w:sz="8" w:space="0" w:color="auto"/>
            </w:tcBorders>
            <w:shd w:val="clear" w:color="auto" w:fill="auto"/>
            <w:noWrap/>
            <w:vAlign w:val="bottom"/>
            <w:hideMark/>
          </w:tcPr>
          <w:p w14:paraId="0129F93F" w14:textId="77777777" w:rsidR="00C2451F" w:rsidRPr="00E144FB" w:rsidRDefault="00C2451F" w:rsidP="001B15B2">
            <w:pPr>
              <w:spacing w:after="0" w:line="240" w:lineRule="auto"/>
              <w:jc w:val="right"/>
              <w:rPr>
                <w:rFonts w:ascii="Calibri" w:eastAsia="Times New Roman" w:hAnsi="Calibri" w:cs="Calibri"/>
                <w:color w:val="000000"/>
              </w:rPr>
            </w:pPr>
            <w:r w:rsidRPr="00E144FB">
              <w:rPr>
                <w:rFonts w:ascii="Calibri" w:eastAsia="Times New Roman" w:hAnsi="Calibri" w:cs="Calibri"/>
                <w:color w:val="000000"/>
              </w:rPr>
              <w:t>Jul-22</w:t>
            </w:r>
          </w:p>
        </w:tc>
        <w:tc>
          <w:tcPr>
            <w:tcW w:w="1162" w:type="dxa"/>
            <w:tcBorders>
              <w:top w:val="nil"/>
              <w:left w:val="nil"/>
              <w:bottom w:val="nil"/>
              <w:right w:val="single" w:sz="8" w:space="0" w:color="auto"/>
            </w:tcBorders>
            <w:shd w:val="clear" w:color="auto" w:fill="auto"/>
            <w:noWrap/>
            <w:vAlign w:val="bottom"/>
            <w:hideMark/>
          </w:tcPr>
          <w:p w14:paraId="424B8701"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37,638 </w:t>
            </w:r>
          </w:p>
        </w:tc>
        <w:tc>
          <w:tcPr>
            <w:tcW w:w="1162" w:type="dxa"/>
            <w:tcBorders>
              <w:top w:val="nil"/>
              <w:left w:val="nil"/>
              <w:bottom w:val="nil"/>
              <w:right w:val="single" w:sz="8" w:space="0" w:color="auto"/>
            </w:tcBorders>
            <w:shd w:val="clear" w:color="auto" w:fill="auto"/>
            <w:noWrap/>
            <w:vAlign w:val="bottom"/>
            <w:hideMark/>
          </w:tcPr>
          <w:p w14:paraId="66871624"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39,286 </w:t>
            </w:r>
          </w:p>
        </w:tc>
        <w:tc>
          <w:tcPr>
            <w:tcW w:w="1162" w:type="dxa"/>
            <w:tcBorders>
              <w:top w:val="nil"/>
              <w:left w:val="nil"/>
              <w:bottom w:val="nil"/>
              <w:right w:val="single" w:sz="8" w:space="0" w:color="auto"/>
            </w:tcBorders>
            <w:shd w:val="clear" w:color="auto" w:fill="auto"/>
            <w:noWrap/>
            <w:vAlign w:val="bottom"/>
            <w:hideMark/>
          </w:tcPr>
          <w:p w14:paraId="67695425"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76,925 </w:t>
            </w:r>
          </w:p>
        </w:tc>
        <w:tc>
          <w:tcPr>
            <w:tcW w:w="1162" w:type="dxa"/>
            <w:tcBorders>
              <w:top w:val="nil"/>
              <w:left w:val="nil"/>
              <w:bottom w:val="nil"/>
              <w:right w:val="single" w:sz="8" w:space="0" w:color="auto"/>
            </w:tcBorders>
            <w:shd w:val="clear" w:color="auto" w:fill="auto"/>
            <w:noWrap/>
            <w:vAlign w:val="bottom"/>
            <w:hideMark/>
          </w:tcPr>
          <w:p w14:paraId="4ECDECF4"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7,254 </w:t>
            </w:r>
          </w:p>
        </w:tc>
        <w:tc>
          <w:tcPr>
            <w:tcW w:w="1162" w:type="dxa"/>
            <w:tcBorders>
              <w:top w:val="nil"/>
              <w:left w:val="nil"/>
              <w:bottom w:val="nil"/>
              <w:right w:val="single" w:sz="8" w:space="0" w:color="auto"/>
            </w:tcBorders>
            <w:shd w:val="clear" w:color="auto" w:fill="auto"/>
            <w:noWrap/>
            <w:vAlign w:val="bottom"/>
            <w:hideMark/>
          </w:tcPr>
          <w:p w14:paraId="4D081A7E"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16,816 </w:t>
            </w:r>
          </w:p>
        </w:tc>
        <w:tc>
          <w:tcPr>
            <w:tcW w:w="1162" w:type="dxa"/>
            <w:tcBorders>
              <w:top w:val="nil"/>
              <w:left w:val="nil"/>
              <w:bottom w:val="nil"/>
              <w:right w:val="single" w:sz="8" w:space="0" w:color="auto"/>
            </w:tcBorders>
            <w:shd w:val="clear" w:color="auto" w:fill="auto"/>
            <w:noWrap/>
            <w:vAlign w:val="bottom"/>
            <w:hideMark/>
          </w:tcPr>
          <w:p w14:paraId="4AED230C"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24,070 </w:t>
            </w:r>
          </w:p>
        </w:tc>
      </w:tr>
      <w:tr w:rsidR="00C2451F" w:rsidRPr="00E144FB" w14:paraId="7772334D" w14:textId="77777777" w:rsidTr="001B15B2">
        <w:trPr>
          <w:trHeight w:val="283"/>
        </w:trPr>
        <w:tc>
          <w:tcPr>
            <w:tcW w:w="1162" w:type="dxa"/>
            <w:tcBorders>
              <w:top w:val="nil"/>
              <w:left w:val="single" w:sz="8" w:space="0" w:color="auto"/>
              <w:bottom w:val="nil"/>
              <w:right w:val="single" w:sz="8" w:space="0" w:color="auto"/>
            </w:tcBorders>
            <w:shd w:val="clear" w:color="auto" w:fill="auto"/>
            <w:noWrap/>
            <w:vAlign w:val="bottom"/>
            <w:hideMark/>
          </w:tcPr>
          <w:p w14:paraId="2114F390" w14:textId="77777777" w:rsidR="00C2451F" w:rsidRPr="00E144FB" w:rsidRDefault="00C2451F" w:rsidP="001B15B2">
            <w:pPr>
              <w:spacing w:after="0" w:line="240" w:lineRule="auto"/>
              <w:jc w:val="right"/>
              <w:rPr>
                <w:rFonts w:ascii="Calibri" w:eastAsia="Times New Roman" w:hAnsi="Calibri" w:cs="Calibri"/>
                <w:color w:val="000000"/>
              </w:rPr>
            </w:pPr>
            <w:r w:rsidRPr="00E144FB">
              <w:rPr>
                <w:rFonts w:ascii="Calibri" w:eastAsia="Times New Roman" w:hAnsi="Calibri" w:cs="Calibri"/>
                <w:color w:val="000000"/>
              </w:rPr>
              <w:t>Aug-22</w:t>
            </w:r>
          </w:p>
        </w:tc>
        <w:tc>
          <w:tcPr>
            <w:tcW w:w="1162" w:type="dxa"/>
            <w:tcBorders>
              <w:top w:val="nil"/>
              <w:left w:val="nil"/>
              <w:bottom w:val="nil"/>
              <w:right w:val="single" w:sz="8" w:space="0" w:color="auto"/>
            </w:tcBorders>
            <w:shd w:val="clear" w:color="auto" w:fill="auto"/>
            <w:noWrap/>
            <w:vAlign w:val="bottom"/>
            <w:hideMark/>
          </w:tcPr>
          <w:p w14:paraId="3BD09B14"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39,950 </w:t>
            </w:r>
          </w:p>
        </w:tc>
        <w:tc>
          <w:tcPr>
            <w:tcW w:w="1162" w:type="dxa"/>
            <w:tcBorders>
              <w:top w:val="nil"/>
              <w:left w:val="nil"/>
              <w:bottom w:val="nil"/>
              <w:right w:val="single" w:sz="8" w:space="0" w:color="auto"/>
            </w:tcBorders>
            <w:shd w:val="clear" w:color="auto" w:fill="auto"/>
            <w:noWrap/>
            <w:vAlign w:val="bottom"/>
            <w:hideMark/>
          </w:tcPr>
          <w:p w14:paraId="4CDA17D8"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36,974 </w:t>
            </w:r>
          </w:p>
        </w:tc>
        <w:tc>
          <w:tcPr>
            <w:tcW w:w="1162" w:type="dxa"/>
            <w:tcBorders>
              <w:top w:val="nil"/>
              <w:left w:val="nil"/>
              <w:bottom w:val="nil"/>
              <w:right w:val="single" w:sz="8" w:space="0" w:color="auto"/>
            </w:tcBorders>
            <w:shd w:val="clear" w:color="auto" w:fill="auto"/>
            <w:noWrap/>
            <w:vAlign w:val="bottom"/>
            <w:hideMark/>
          </w:tcPr>
          <w:p w14:paraId="65D1A18B"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76,925 </w:t>
            </w:r>
          </w:p>
        </w:tc>
        <w:tc>
          <w:tcPr>
            <w:tcW w:w="1162" w:type="dxa"/>
            <w:tcBorders>
              <w:top w:val="nil"/>
              <w:left w:val="nil"/>
              <w:bottom w:val="nil"/>
              <w:right w:val="single" w:sz="8" w:space="0" w:color="auto"/>
            </w:tcBorders>
            <w:shd w:val="clear" w:color="auto" w:fill="auto"/>
            <w:noWrap/>
            <w:vAlign w:val="bottom"/>
            <w:hideMark/>
          </w:tcPr>
          <w:p w14:paraId="362F36CD"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7,121 </w:t>
            </w:r>
          </w:p>
        </w:tc>
        <w:tc>
          <w:tcPr>
            <w:tcW w:w="1162" w:type="dxa"/>
            <w:tcBorders>
              <w:top w:val="nil"/>
              <w:left w:val="nil"/>
              <w:bottom w:val="nil"/>
              <w:right w:val="single" w:sz="8" w:space="0" w:color="auto"/>
            </w:tcBorders>
            <w:shd w:val="clear" w:color="auto" w:fill="auto"/>
            <w:noWrap/>
            <w:vAlign w:val="bottom"/>
            <w:hideMark/>
          </w:tcPr>
          <w:p w14:paraId="4C562020"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17,178 </w:t>
            </w:r>
          </w:p>
        </w:tc>
        <w:tc>
          <w:tcPr>
            <w:tcW w:w="1162" w:type="dxa"/>
            <w:tcBorders>
              <w:top w:val="nil"/>
              <w:left w:val="nil"/>
              <w:bottom w:val="nil"/>
              <w:right w:val="single" w:sz="8" w:space="0" w:color="auto"/>
            </w:tcBorders>
            <w:shd w:val="clear" w:color="auto" w:fill="auto"/>
            <w:noWrap/>
            <w:vAlign w:val="bottom"/>
            <w:hideMark/>
          </w:tcPr>
          <w:p w14:paraId="1F1B5AAC"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24,299 </w:t>
            </w:r>
          </w:p>
        </w:tc>
      </w:tr>
      <w:tr w:rsidR="00C2451F" w:rsidRPr="00E144FB" w14:paraId="106C353B" w14:textId="77777777" w:rsidTr="001B15B2">
        <w:trPr>
          <w:trHeight w:val="294"/>
        </w:trPr>
        <w:tc>
          <w:tcPr>
            <w:tcW w:w="1162" w:type="dxa"/>
            <w:tcBorders>
              <w:top w:val="nil"/>
              <w:left w:val="single" w:sz="8" w:space="0" w:color="auto"/>
              <w:bottom w:val="single" w:sz="8" w:space="0" w:color="auto"/>
              <w:right w:val="single" w:sz="8" w:space="0" w:color="auto"/>
            </w:tcBorders>
            <w:shd w:val="clear" w:color="auto" w:fill="auto"/>
            <w:noWrap/>
            <w:vAlign w:val="bottom"/>
            <w:hideMark/>
          </w:tcPr>
          <w:p w14:paraId="7327015D" w14:textId="77777777" w:rsidR="00C2451F" w:rsidRPr="00E144FB" w:rsidRDefault="00C2451F" w:rsidP="001B15B2">
            <w:pPr>
              <w:spacing w:after="0" w:line="240" w:lineRule="auto"/>
              <w:jc w:val="right"/>
              <w:rPr>
                <w:rFonts w:ascii="Calibri" w:eastAsia="Times New Roman" w:hAnsi="Calibri" w:cs="Calibri"/>
                <w:color w:val="000000"/>
              </w:rPr>
            </w:pPr>
            <w:r w:rsidRPr="00E144FB">
              <w:rPr>
                <w:rFonts w:ascii="Calibri" w:eastAsia="Times New Roman" w:hAnsi="Calibri" w:cs="Calibri"/>
                <w:color w:val="000000"/>
              </w:rPr>
              <w:t>Sep-22</w:t>
            </w:r>
          </w:p>
        </w:tc>
        <w:tc>
          <w:tcPr>
            <w:tcW w:w="1162" w:type="dxa"/>
            <w:tcBorders>
              <w:top w:val="nil"/>
              <w:left w:val="nil"/>
              <w:bottom w:val="single" w:sz="8" w:space="0" w:color="auto"/>
              <w:right w:val="single" w:sz="8" w:space="0" w:color="auto"/>
            </w:tcBorders>
            <w:shd w:val="clear" w:color="auto" w:fill="auto"/>
            <w:noWrap/>
            <w:vAlign w:val="bottom"/>
            <w:hideMark/>
          </w:tcPr>
          <w:p w14:paraId="3A6C384F"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41,039 </w:t>
            </w:r>
          </w:p>
        </w:tc>
        <w:tc>
          <w:tcPr>
            <w:tcW w:w="1162" w:type="dxa"/>
            <w:tcBorders>
              <w:top w:val="nil"/>
              <w:left w:val="nil"/>
              <w:bottom w:val="single" w:sz="8" w:space="0" w:color="auto"/>
              <w:right w:val="single" w:sz="8" w:space="0" w:color="auto"/>
            </w:tcBorders>
            <w:shd w:val="clear" w:color="auto" w:fill="auto"/>
            <w:noWrap/>
            <w:vAlign w:val="bottom"/>
            <w:hideMark/>
          </w:tcPr>
          <w:p w14:paraId="64B8FB59"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38,006 </w:t>
            </w:r>
          </w:p>
        </w:tc>
        <w:tc>
          <w:tcPr>
            <w:tcW w:w="1162" w:type="dxa"/>
            <w:tcBorders>
              <w:top w:val="nil"/>
              <w:left w:val="nil"/>
              <w:bottom w:val="single" w:sz="8" w:space="0" w:color="auto"/>
              <w:right w:val="single" w:sz="8" w:space="0" w:color="auto"/>
            </w:tcBorders>
            <w:shd w:val="clear" w:color="auto" w:fill="auto"/>
            <w:noWrap/>
            <w:vAlign w:val="bottom"/>
            <w:hideMark/>
          </w:tcPr>
          <w:p w14:paraId="278F7E91"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79,045 </w:t>
            </w:r>
          </w:p>
        </w:tc>
        <w:tc>
          <w:tcPr>
            <w:tcW w:w="1162" w:type="dxa"/>
            <w:tcBorders>
              <w:top w:val="nil"/>
              <w:left w:val="nil"/>
              <w:bottom w:val="single" w:sz="8" w:space="0" w:color="auto"/>
              <w:right w:val="single" w:sz="8" w:space="0" w:color="auto"/>
            </w:tcBorders>
            <w:shd w:val="clear" w:color="auto" w:fill="auto"/>
            <w:noWrap/>
            <w:vAlign w:val="bottom"/>
            <w:hideMark/>
          </w:tcPr>
          <w:p w14:paraId="46F75678"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6,985 </w:t>
            </w:r>
          </w:p>
        </w:tc>
        <w:tc>
          <w:tcPr>
            <w:tcW w:w="1162" w:type="dxa"/>
            <w:tcBorders>
              <w:top w:val="nil"/>
              <w:left w:val="nil"/>
              <w:bottom w:val="single" w:sz="8" w:space="0" w:color="auto"/>
              <w:right w:val="single" w:sz="8" w:space="0" w:color="auto"/>
            </w:tcBorders>
            <w:shd w:val="clear" w:color="auto" w:fill="auto"/>
            <w:noWrap/>
            <w:vAlign w:val="bottom"/>
            <w:hideMark/>
          </w:tcPr>
          <w:p w14:paraId="19BD129C"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17,314 </w:t>
            </w:r>
          </w:p>
        </w:tc>
        <w:tc>
          <w:tcPr>
            <w:tcW w:w="1162" w:type="dxa"/>
            <w:tcBorders>
              <w:top w:val="nil"/>
              <w:left w:val="nil"/>
              <w:bottom w:val="nil"/>
              <w:right w:val="single" w:sz="8" w:space="0" w:color="auto"/>
            </w:tcBorders>
            <w:shd w:val="clear" w:color="auto" w:fill="auto"/>
            <w:noWrap/>
            <w:vAlign w:val="bottom"/>
            <w:hideMark/>
          </w:tcPr>
          <w:p w14:paraId="057FBC6C"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24,299 </w:t>
            </w:r>
          </w:p>
        </w:tc>
      </w:tr>
      <w:tr w:rsidR="00C2451F" w:rsidRPr="00E144FB" w14:paraId="1EF6A4AB" w14:textId="77777777" w:rsidTr="001B15B2">
        <w:trPr>
          <w:trHeight w:val="294"/>
        </w:trPr>
        <w:tc>
          <w:tcPr>
            <w:tcW w:w="1162" w:type="dxa"/>
            <w:tcBorders>
              <w:top w:val="nil"/>
              <w:left w:val="single" w:sz="8" w:space="0" w:color="auto"/>
              <w:bottom w:val="single" w:sz="8" w:space="0" w:color="auto"/>
              <w:right w:val="nil"/>
            </w:tcBorders>
            <w:shd w:val="clear" w:color="auto" w:fill="auto"/>
            <w:noWrap/>
            <w:vAlign w:val="bottom"/>
            <w:hideMark/>
          </w:tcPr>
          <w:p w14:paraId="2242E28A"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TOTAL</w:t>
            </w:r>
          </w:p>
        </w:tc>
        <w:tc>
          <w:tcPr>
            <w:tcW w:w="1162" w:type="dxa"/>
            <w:tcBorders>
              <w:top w:val="nil"/>
              <w:left w:val="single" w:sz="8" w:space="0" w:color="auto"/>
              <w:bottom w:val="single" w:sz="8" w:space="0" w:color="auto"/>
              <w:right w:val="single" w:sz="8" w:space="0" w:color="auto"/>
            </w:tcBorders>
            <w:shd w:val="clear" w:color="auto" w:fill="auto"/>
            <w:noWrap/>
            <w:vAlign w:val="bottom"/>
            <w:hideMark/>
          </w:tcPr>
          <w:p w14:paraId="7AF99442"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230,481 </w:t>
            </w:r>
          </w:p>
        </w:tc>
        <w:tc>
          <w:tcPr>
            <w:tcW w:w="1162" w:type="dxa"/>
            <w:tcBorders>
              <w:top w:val="nil"/>
              <w:left w:val="nil"/>
              <w:bottom w:val="single" w:sz="8" w:space="0" w:color="auto"/>
              <w:right w:val="single" w:sz="8" w:space="0" w:color="auto"/>
            </w:tcBorders>
            <w:shd w:val="clear" w:color="auto" w:fill="auto"/>
            <w:noWrap/>
            <w:vAlign w:val="bottom"/>
            <w:hideMark/>
          </w:tcPr>
          <w:p w14:paraId="53B996CB"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228,207 </w:t>
            </w:r>
          </w:p>
        </w:tc>
        <w:tc>
          <w:tcPr>
            <w:tcW w:w="1162" w:type="dxa"/>
            <w:tcBorders>
              <w:top w:val="nil"/>
              <w:left w:val="nil"/>
              <w:bottom w:val="single" w:sz="8" w:space="0" w:color="auto"/>
              <w:right w:val="single" w:sz="8" w:space="0" w:color="auto"/>
            </w:tcBorders>
            <w:shd w:val="clear" w:color="auto" w:fill="auto"/>
            <w:noWrap/>
            <w:vAlign w:val="bottom"/>
            <w:hideMark/>
          </w:tcPr>
          <w:p w14:paraId="11DADC77"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458,688 </w:t>
            </w:r>
          </w:p>
        </w:tc>
        <w:tc>
          <w:tcPr>
            <w:tcW w:w="1162" w:type="dxa"/>
            <w:tcBorders>
              <w:top w:val="nil"/>
              <w:left w:val="nil"/>
              <w:bottom w:val="single" w:sz="8" w:space="0" w:color="auto"/>
              <w:right w:val="single" w:sz="8" w:space="0" w:color="auto"/>
            </w:tcBorders>
            <w:shd w:val="clear" w:color="auto" w:fill="auto"/>
            <w:noWrap/>
            <w:vAlign w:val="bottom"/>
            <w:hideMark/>
          </w:tcPr>
          <w:p w14:paraId="1448783B"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42,539 </w:t>
            </w:r>
          </w:p>
        </w:tc>
        <w:tc>
          <w:tcPr>
            <w:tcW w:w="1162" w:type="dxa"/>
            <w:tcBorders>
              <w:top w:val="nil"/>
              <w:left w:val="nil"/>
              <w:bottom w:val="single" w:sz="8" w:space="0" w:color="auto"/>
              <w:right w:val="single" w:sz="8" w:space="0" w:color="auto"/>
            </w:tcBorders>
            <w:shd w:val="clear" w:color="auto" w:fill="auto"/>
            <w:noWrap/>
            <w:vAlign w:val="bottom"/>
            <w:hideMark/>
          </w:tcPr>
          <w:p w14:paraId="3B392F59"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102,102 </w:t>
            </w:r>
          </w:p>
        </w:tc>
        <w:tc>
          <w:tcPr>
            <w:tcW w:w="1162" w:type="dxa"/>
            <w:tcBorders>
              <w:top w:val="single" w:sz="8" w:space="0" w:color="auto"/>
              <w:left w:val="nil"/>
              <w:bottom w:val="single" w:sz="8" w:space="0" w:color="auto"/>
              <w:right w:val="single" w:sz="8" w:space="0" w:color="auto"/>
            </w:tcBorders>
            <w:shd w:val="clear" w:color="auto" w:fill="auto"/>
            <w:noWrap/>
            <w:vAlign w:val="bottom"/>
            <w:hideMark/>
          </w:tcPr>
          <w:p w14:paraId="1BDA40DA" w14:textId="77777777" w:rsidR="00C2451F" w:rsidRPr="00E144FB" w:rsidRDefault="00C2451F" w:rsidP="001B15B2">
            <w:pPr>
              <w:spacing w:after="0" w:line="240" w:lineRule="auto"/>
              <w:rPr>
                <w:rFonts w:ascii="Calibri" w:eastAsia="Times New Roman" w:hAnsi="Calibri" w:cs="Calibri"/>
                <w:color w:val="000000"/>
              </w:rPr>
            </w:pPr>
            <w:r w:rsidRPr="00E144FB">
              <w:rPr>
                <w:rFonts w:ascii="Calibri" w:eastAsia="Times New Roman" w:hAnsi="Calibri" w:cs="Calibri"/>
                <w:color w:val="000000"/>
              </w:rPr>
              <w:t xml:space="preserve">  144,641 </w:t>
            </w:r>
          </w:p>
        </w:tc>
      </w:tr>
    </w:tbl>
    <w:p w14:paraId="51ED8B4B" w14:textId="7717F3CF" w:rsidR="00C2451F" w:rsidRDefault="00C2451F" w:rsidP="00FF0FF7">
      <w:pPr>
        <w:spacing w:after="0" w:line="240" w:lineRule="auto"/>
        <w:ind w:left="720" w:firstLine="720"/>
        <w:jc w:val="both"/>
        <w:rPr>
          <w:rFonts w:ascii="Bookman Old Style" w:eastAsia="Calibri" w:hAnsi="Bookman Old Style" w:cs="Arial"/>
          <w:sz w:val="24"/>
          <w:szCs w:val="24"/>
          <w:lang w:val="en-GB" w:bidi="en-US"/>
        </w:rPr>
      </w:pPr>
      <w:r>
        <w:rPr>
          <w:rFonts w:ascii="Bookman Old Style" w:eastAsia="Calibri" w:hAnsi="Bookman Old Style" w:cs="Arial"/>
          <w:sz w:val="24"/>
          <w:szCs w:val="24"/>
          <w:lang w:val="en-GB" w:bidi="en-US"/>
        </w:rPr>
        <w:fldChar w:fldCharType="end"/>
      </w:r>
    </w:p>
    <w:p w14:paraId="70780359" w14:textId="77777777" w:rsidR="00C2451F" w:rsidRPr="00517BF0" w:rsidRDefault="00C2451F" w:rsidP="00FF0FF7">
      <w:pPr>
        <w:spacing w:after="0" w:line="240" w:lineRule="auto"/>
        <w:ind w:left="720" w:firstLine="720"/>
        <w:jc w:val="both"/>
        <w:rPr>
          <w:rFonts w:ascii="Bookman Old Style" w:eastAsia="Calibri" w:hAnsi="Bookman Old Style" w:cs="Arial"/>
          <w:sz w:val="24"/>
          <w:szCs w:val="24"/>
          <w:lang w:val="en-GB" w:bidi="en-US"/>
        </w:rPr>
      </w:pPr>
    </w:p>
    <w:p w14:paraId="59CF7278" w14:textId="162BB7DA" w:rsidR="009F31DF" w:rsidRDefault="009F31DF" w:rsidP="00517BF0">
      <w:pPr>
        <w:spacing w:after="0" w:line="240" w:lineRule="auto"/>
        <w:jc w:val="both"/>
        <w:rPr>
          <w:rFonts w:ascii="Bookman Old Style" w:eastAsia="Calibri" w:hAnsi="Bookman Old Style" w:cs="Arial"/>
          <w:sz w:val="24"/>
          <w:szCs w:val="24"/>
        </w:rPr>
      </w:pPr>
      <w:r>
        <w:rPr>
          <w:rFonts w:ascii="Bookman Old Style" w:hAnsi="Bookman Old Style"/>
          <w:sz w:val="24"/>
        </w:rPr>
        <w:t>2.3.4.2. Honoraires d'audit (utilisés à 100%)</w:t>
      </w:r>
    </w:p>
    <w:p w14:paraId="1EB3822B" w14:textId="61E38265" w:rsidR="009F31DF" w:rsidRDefault="009F31DF" w:rsidP="004B0681">
      <w:pPr>
        <w:spacing w:after="0" w:line="240" w:lineRule="auto"/>
        <w:ind w:left="948"/>
        <w:jc w:val="both"/>
        <w:rPr>
          <w:rFonts w:ascii="Bookman Old Style" w:eastAsia="Calibri" w:hAnsi="Bookman Old Style" w:cs="Arial"/>
          <w:sz w:val="24"/>
          <w:szCs w:val="24"/>
        </w:rPr>
      </w:pPr>
      <w:r>
        <w:rPr>
          <w:rFonts w:ascii="Bookman Old Style" w:hAnsi="Bookman Old Style"/>
          <w:sz w:val="24"/>
        </w:rPr>
        <w:t>Les honoraires d'audit sont payables en totalité après l'audit de l'année précédente. Aucun autre honoraire d'audit n'est à payer.</w:t>
      </w:r>
    </w:p>
    <w:p w14:paraId="091F3612" w14:textId="77777777" w:rsidR="00805E07" w:rsidRPr="00F55B99" w:rsidRDefault="00805E07" w:rsidP="00517BF0">
      <w:pPr>
        <w:spacing w:after="0" w:line="240" w:lineRule="auto"/>
        <w:jc w:val="both"/>
        <w:rPr>
          <w:rFonts w:ascii="Bookman Old Style" w:eastAsia="Calibri" w:hAnsi="Bookman Old Style" w:cs="Arial"/>
          <w:sz w:val="24"/>
          <w:szCs w:val="24"/>
          <w:lang w:bidi="en-US"/>
        </w:rPr>
      </w:pPr>
    </w:p>
    <w:p w14:paraId="6E7F075D" w14:textId="77FCD25D" w:rsidR="00307841" w:rsidRDefault="00307841" w:rsidP="00517BF0">
      <w:pPr>
        <w:spacing w:after="0" w:line="240" w:lineRule="auto"/>
        <w:jc w:val="both"/>
        <w:rPr>
          <w:rFonts w:ascii="Bookman Old Style" w:eastAsia="Calibri" w:hAnsi="Bookman Old Style" w:cs="Arial"/>
          <w:sz w:val="24"/>
          <w:szCs w:val="24"/>
        </w:rPr>
      </w:pPr>
      <w:r>
        <w:rPr>
          <w:rFonts w:ascii="Bookman Old Style" w:hAnsi="Bookman Old Style"/>
          <w:sz w:val="24"/>
        </w:rPr>
        <w:t>2.3.4.3. Assemblée plénière (53% d'utilisation)</w:t>
      </w:r>
    </w:p>
    <w:p w14:paraId="28B1A44B" w14:textId="5C7D1BF6" w:rsidR="004B0681" w:rsidRDefault="000D665D" w:rsidP="00CD3D3E">
      <w:pPr>
        <w:spacing w:after="0" w:line="240" w:lineRule="auto"/>
        <w:ind w:left="993"/>
        <w:jc w:val="both"/>
        <w:rPr>
          <w:rFonts w:ascii="Bookman Old Style" w:eastAsia="Calibri" w:hAnsi="Bookman Old Style" w:cs="Arial"/>
          <w:sz w:val="24"/>
          <w:szCs w:val="24"/>
        </w:rPr>
      </w:pPr>
      <w:r>
        <w:rPr>
          <w:rFonts w:ascii="Bookman Old Style" w:hAnsi="Bookman Old Style"/>
          <w:sz w:val="24"/>
        </w:rPr>
        <w:t>La 51</w:t>
      </w:r>
      <w:r>
        <w:rPr>
          <w:rFonts w:ascii="Bookman Old Style" w:hAnsi="Bookman Old Style"/>
          <w:sz w:val="24"/>
          <w:vertAlign w:val="superscript"/>
        </w:rPr>
        <w:t>e</w:t>
      </w:r>
      <w:r>
        <w:rPr>
          <w:rFonts w:ascii="Bookman Old Style" w:hAnsi="Bookman Old Style"/>
          <w:sz w:val="24"/>
        </w:rPr>
        <w:t xml:space="preserve"> Assemblée plénière s'est tenue en mode présentiel à Lilongwe, au Malawi, en juillet 2022. Le budget prévoyait une Assemblée plénière physique pour un montant de N$ 1,8 million et une Assemblée plénière virtuelle pour N$ 350 000, le budget total pour les Assemblées plénières étant de N$ 2,16 millions. Le montant de N$ 1,15 millions dépensé pour la 51</w:t>
      </w:r>
      <w:r>
        <w:rPr>
          <w:rFonts w:ascii="Bookman Old Style" w:hAnsi="Bookman Old Style"/>
          <w:sz w:val="24"/>
          <w:vertAlign w:val="superscript"/>
        </w:rPr>
        <w:t>e</w:t>
      </w:r>
      <w:r>
        <w:rPr>
          <w:rFonts w:ascii="Bookman Old Style" w:hAnsi="Bookman Old Style"/>
          <w:sz w:val="24"/>
        </w:rPr>
        <w:t xml:space="preserve"> Assemblée plénière était dans les limites du budget prévu. </w:t>
      </w:r>
      <w:r w:rsidRPr="00AE4D9B">
        <w:rPr>
          <w:rFonts w:ascii="Bookman Old Style" w:hAnsi="Bookman Old Style"/>
          <w:sz w:val="24"/>
          <w:szCs w:val="24"/>
        </w:rPr>
        <w:t xml:space="preserve">Cependant, </w:t>
      </w:r>
      <w:bookmarkStart w:id="13" w:name="_Hlk118377234"/>
      <w:r w:rsidRPr="00AE4D9B">
        <w:rPr>
          <w:rFonts w:ascii="Bookman Old Style" w:hAnsi="Bookman Old Style"/>
          <w:sz w:val="24"/>
          <w:szCs w:val="24"/>
        </w:rPr>
        <w:t>la 52e Assemblée plénière sera accueillie par la RDC et se tiendra physiquement à Kinshasa, en République démocratique du Congo.</w:t>
      </w:r>
      <w:r>
        <w:rPr>
          <w:rFonts w:ascii="Bookman Old Style" w:hAnsi="Bookman Old Style"/>
          <w:sz w:val="24"/>
        </w:rPr>
        <w:t xml:space="preserve"> À cet égard, il est prévu que le solde de N$ 1,10 million ne sera pas suffisant pour la 52</w:t>
      </w:r>
      <w:r>
        <w:rPr>
          <w:rFonts w:ascii="Bookman Old Style" w:hAnsi="Bookman Old Style"/>
          <w:sz w:val="24"/>
          <w:vertAlign w:val="superscript"/>
        </w:rPr>
        <w:t>e</w:t>
      </w:r>
      <w:r>
        <w:rPr>
          <w:rFonts w:ascii="Bookman Old Style" w:hAnsi="Bookman Old Style"/>
          <w:sz w:val="24"/>
        </w:rPr>
        <w:t xml:space="preserve"> Assemblée plénière, dont le budget est estimé à </w:t>
      </w:r>
      <w:r w:rsidRPr="00651BBF">
        <w:rPr>
          <w:rFonts w:ascii="Bookman Old Style" w:hAnsi="Bookman Old Style"/>
          <w:sz w:val="24"/>
        </w:rPr>
        <w:t xml:space="preserve">N$ </w:t>
      </w:r>
      <w:r w:rsidR="00EB63ED" w:rsidRPr="00651BBF">
        <w:rPr>
          <w:rFonts w:ascii="Bookman Old Style" w:hAnsi="Bookman Old Style"/>
          <w:sz w:val="24"/>
        </w:rPr>
        <w:t>2,5</w:t>
      </w:r>
      <w:r w:rsidRPr="00651BBF">
        <w:rPr>
          <w:rFonts w:ascii="Bookman Old Style" w:hAnsi="Bookman Old Style"/>
          <w:sz w:val="24"/>
        </w:rPr>
        <w:t xml:space="preserve"> </w:t>
      </w:r>
      <w:proofErr w:type="gramStart"/>
      <w:r w:rsidRPr="00651BBF">
        <w:rPr>
          <w:rFonts w:ascii="Bookman Old Style" w:hAnsi="Bookman Old Style"/>
          <w:sz w:val="24"/>
        </w:rPr>
        <w:t>million</w:t>
      </w:r>
      <w:proofErr w:type="gramEnd"/>
      <w:r w:rsidRPr="00651BBF">
        <w:rPr>
          <w:rFonts w:ascii="Bookman Old Style" w:hAnsi="Bookman Old Style"/>
          <w:sz w:val="24"/>
        </w:rPr>
        <w:t xml:space="preserve">. Il sera donc nécessaire d'allouer des fonds à partir des bénéfices non répartis pour combler le déficit de N$ </w:t>
      </w:r>
      <w:r w:rsidR="00EB63ED" w:rsidRPr="00651BBF">
        <w:rPr>
          <w:rFonts w:ascii="Bookman Old Style" w:hAnsi="Bookman Old Style"/>
          <w:sz w:val="24"/>
        </w:rPr>
        <w:t>1.400.000</w:t>
      </w:r>
      <w:r w:rsidRPr="00651BBF">
        <w:rPr>
          <w:rFonts w:ascii="Bookman Old Style" w:hAnsi="Bookman Old Style"/>
          <w:sz w:val="24"/>
        </w:rPr>
        <w:t>.</w:t>
      </w:r>
      <w:r>
        <w:rPr>
          <w:rFonts w:ascii="Bookman Old Style" w:hAnsi="Bookman Old Style"/>
          <w:sz w:val="24"/>
        </w:rPr>
        <w:t xml:space="preserve"> </w:t>
      </w:r>
    </w:p>
    <w:p w14:paraId="79109BF5" w14:textId="77777777" w:rsidR="004B0681" w:rsidRPr="00F55B99" w:rsidRDefault="004B0681" w:rsidP="00517BF0">
      <w:pPr>
        <w:spacing w:after="0" w:line="240" w:lineRule="auto"/>
        <w:jc w:val="both"/>
        <w:rPr>
          <w:rFonts w:ascii="Bookman Old Style" w:eastAsia="Calibri" w:hAnsi="Bookman Old Style" w:cs="Arial"/>
          <w:sz w:val="24"/>
          <w:szCs w:val="24"/>
          <w:lang w:bidi="en-US"/>
        </w:rPr>
      </w:pPr>
    </w:p>
    <w:bookmarkEnd w:id="13"/>
    <w:p w14:paraId="5A4313CC" w14:textId="1ACAD8EF" w:rsidR="005E3177" w:rsidRDefault="001014CE" w:rsidP="00517BF0">
      <w:pPr>
        <w:spacing w:after="0" w:line="240" w:lineRule="auto"/>
        <w:jc w:val="both"/>
        <w:rPr>
          <w:rFonts w:ascii="Bookman Old Style" w:eastAsia="Calibri" w:hAnsi="Bookman Old Style" w:cs="Arial"/>
          <w:sz w:val="24"/>
          <w:szCs w:val="24"/>
        </w:rPr>
      </w:pPr>
      <w:r>
        <w:rPr>
          <w:rFonts w:ascii="Bookman Old Style" w:hAnsi="Bookman Old Style"/>
          <w:sz w:val="24"/>
        </w:rPr>
        <w:t>2.3.4.4. Réunions du Comité exécutif (64%)</w:t>
      </w:r>
    </w:p>
    <w:p w14:paraId="7EBD6C99" w14:textId="550B5BED" w:rsidR="005E3177" w:rsidRDefault="005E3177" w:rsidP="00CD3D3E">
      <w:pPr>
        <w:spacing w:after="0" w:line="240" w:lineRule="auto"/>
        <w:ind w:left="993"/>
        <w:jc w:val="both"/>
        <w:rPr>
          <w:rFonts w:ascii="Bookman Old Style" w:eastAsia="Calibri" w:hAnsi="Bookman Old Style" w:cs="Arial"/>
          <w:sz w:val="24"/>
          <w:szCs w:val="24"/>
        </w:rPr>
      </w:pPr>
      <w:r>
        <w:rPr>
          <w:rFonts w:ascii="Bookman Old Style" w:hAnsi="Bookman Old Style"/>
          <w:sz w:val="24"/>
        </w:rPr>
        <w:t>Les fonds pour les réunions du Comité exécutif sont également fournis par la ligne budgétaire des sous-comités du Comité exécutif. Les dépenses totales du Comité exécutif à ce jour, soit N$ 294 206, doivent être mesurées par rapport à un budget total de N$ 713 000 (N$ 453 000 pour le Comité exécutif plus N$ 259 800 pour les sous-comités du Comité exécutif). Cela signifie que seulement 41 % des dépenses dépassent le budget au 30 septembre 2022. Cela signifie que les dépenses du Comité exécutif sont en bonne voie et qu'il n'y a aucune raison de s'inquiéter, pour autant que le mode actuel de réunions virtuelles soit maintenu pour cet exercice financier.</w:t>
      </w:r>
    </w:p>
    <w:p w14:paraId="5371AF7F" w14:textId="0A4518AA" w:rsidR="00F76EFB" w:rsidRDefault="00DA2A1A" w:rsidP="00517BF0">
      <w:pPr>
        <w:spacing w:after="0" w:line="240" w:lineRule="auto"/>
        <w:jc w:val="both"/>
        <w:rPr>
          <w:rFonts w:ascii="Bookman Old Style" w:eastAsia="Calibri" w:hAnsi="Bookman Old Style" w:cs="Arial"/>
          <w:sz w:val="24"/>
          <w:szCs w:val="24"/>
        </w:rPr>
      </w:pPr>
      <w:r>
        <w:rPr>
          <w:rFonts w:ascii="Bookman Old Style" w:hAnsi="Bookman Old Style"/>
          <w:sz w:val="24"/>
        </w:rPr>
        <w:lastRenderedPageBreak/>
        <w:t>2.3.4.5. Soutien du programme (90%)</w:t>
      </w:r>
    </w:p>
    <w:p w14:paraId="17CFEB28" w14:textId="7F069115" w:rsidR="00781E6E" w:rsidRDefault="00A152E7" w:rsidP="006C45F5">
      <w:pPr>
        <w:spacing w:after="0" w:line="240" w:lineRule="auto"/>
        <w:ind w:left="948"/>
        <w:jc w:val="both"/>
        <w:rPr>
          <w:rFonts w:ascii="Bookman Old Style" w:hAnsi="Bookman Old Style"/>
          <w:sz w:val="24"/>
        </w:rPr>
      </w:pPr>
      <w:r w:rsidRPr="006C45F5">
        <w:rPr>
          <w:rFonts w:ascii="Bookman Old Style" w:hAnsi="Bookman Old Style"/>
          <w:sz w:val="24"/>
          <w:szCs w:val="24"/>
        </w:rPr>
        <w:t>Cette ligne budgétaire est presque épuisée car elle a été utilisée pour diverses réunions et engagements de mise en réseau visant à créer et à maintenir des partenariats et à mobiliser des ressources. Il s'agit notamment de l'Assemblée parlementaire de la Méditerranée, du sommet du NDI sur le constitutionnalisme, du secrétariat de la SADC, de la direction de la GIZ, du ministère fédéral des affaires européennes et internationales de la République d'Autriche, de l'ambassade d'Allemagne et d'autres partenaires de coopération internationale. Le réseautage étant le pilier du renforcement de la base de ressources</w:t>
      </w:r>
      <w:r>
        <w:rPr>
          <w:rFonts w:ascii="Bookman Old Style" w:hAnsi="Bookman Old Style"/>
          <w:sz w:val="24"/>
        </w:rPr>
        <w:t xml:space="preserve"> de la SADC PF, surtout dans le sillage de la réduction de la capacité des ressources techniques internes du département des programmes et des affaires parlementaires ainsi que de la diminution du financement des donateurs, il est nécessaire de continuer à mettre des ressources, tant techniques que financières, à disposition.</w:t>
      </w:r>
    </w:p>
    <w:p w14:paraId="4AD28CBA" w14:textId="77777777" w:rsidR="00651BBF" w:rsidRPr="00D64988" w:rsidRDefault="00651BBF" w:rsidP="006C45F5">
      <w:pPr>
        <w:spacing w:after="0" w:line="240" w:lineRule="auto"/>
        <w:ind w:left="948"/>
        <w:jc w:val="both"/>
        <w:rPr>
          <w:rFonts w:ascii="Bookman Old Style" w:eastAsia="Calibri" w:hAnsi="Bookman Old Style" w:cs="Arial"/>
          <w:sz w:val="24"/>
          <w:szCs w:val="24"/>
        </w:rPr>
      </w:pPr>
    </w:p>
    <w:p w14:paraId="605AEF6C" w14:textId="3A2D4A1E" w:rsidR="00DA2A1A" w:rsidRPr="00D64988" w:rsidRDefault="00B85AC8" w:rsidP="00517BF0">
      <w:pPr>
        <w:spacing w:after="0" w:line="240" w:lineRule="auto"/>
        <w:jc w:val="both"/>
        <w:rPr>
          <w:rFonts w:ascii="Bookman Old Style" w:eastAsia="Calibri" w:hAnsi="Bookman Old Style" w:cs="Arial"/>
          <w:sz w:val="24"/>
          <w:szCs w:val="24"/>
        </w:rPr>
      </w:pPr>
      <w:r>
        <w:rPr>
          <w:rFonts w:ascii="Bookman Old Style" w:hAnsi="Bookman Old Style"/>
          <w:sz w:val="24"/>
        </w:rPr>
        <w:t>2.3.4.6. Réunions du Comité permanent (65%)</w:t>
      </w:r>
    </w:p>
    <w:p w14:paraId="637660C6" w14:textId="049932AA" w:rsidR="00DA2A1A" w:rsidRDefault="00AF20B6" w:rsidP="00142D0E">
      <w:pPr>
        <w:spacing w:after="0" w:line="240" w:lineRule="auto"/>
        <w:ind w:left="948"/>
        <w:jc w:val="both"/>
        <w:rPr>
          <w:rFonts w:ascii="Bookman Old Style" w:eastAsia="Calibri" w:hAnsi="Bookman Old Style" w:cs="Arial"/>
          <w:sz w:val="24"/>
          <w:szCs w:val="24"/>
        </w:rPr>
      </w:pPr>
      <w:r>
        <w:rPr>
          <w:rFonts w:ascii="Bookman Old Style" w:hAnsi="Bookman Old Style"/>
          <w:sz w:val="24"/>
        </w:rPr>
        <w:t xml:space="preserve">Les comités permanents ne se sont réunis qu'une fois pour les réunions statutaires et il est prévu qu'ils se réunissent à nouveau en novembre 2022 par voie virtuelle. Les 35% restants (N$ 169 000) seront alloués pour faciliter la tenue de la session de novembre 2022. Compte tenu du soutien des donateurs existants, deux comités permanents, à savoir le HSDSP et la DGHR, disposent déjà de fonds pour la réunion. </w:t>
      </w:r>
      <w:r>
        <w:t xml:space="preserve">A cet égard, pour les Comités permanents, le RPMLOC et le RWPC, il est demandé qu'un </w:t>
      </w:r>
      <w:bookmarkStart w:id="14" w:name="_Hlk117107941"/>
      <w:r>
        <w:t>montant de N$225,000 soit alloué à partir des bénéfices non distribués.</w:t>
      </w:r>
      <w:r>
        <w:rPr>
          <w:rFonts w:ascii="Bookman Old Style" w:hAnsi="Bookman Old Style"/>
          <w:sz w:val="24"/>
        </w:rPr>
        <w:t xml:space="preserve"> </w:t>
      </w:r>
      <w:bookmarkEnd w:id="14"/>
      <w:r>
        <w:rPr>
          <w:rFonts w:ascii="Bookman Old Style" w:hAnsi="Bookman Old Style"/>
          <w:sz w:val="24"/>
        </w:rPr>
        <w:t>Les coûts de la réunion comprennent l'interprétation, la traduction et les coûts relatifs aux personnes ressources. Cependant, les ressources sont telles que le Secrétariat devra gérer strictement les coûts. Les comités doivent également trouver des ressources externes pour les activités de leur programme.</w:t>
      </w:r>
    </w:p>
    <w:p w14:paraId="39E6C1CD" w14:textId="77777777" w:rsidR="00142D0E" w:rsidRPr="00F55B99" w:rsidRDefault="00142D0E" w:rsidP="00517BF0">
      <w:pPr>
        <w:spacing w:after="0" w:line="240" w:lineRule="auto"/>
        <w:jc w:val="both"/>
        <w:rPr>
          <w:rFonts w:ascii="Bookman Old Style" w:eastAsia="Calibri" w:hAnsi="Bookman Old Style" w:cs="Arial"/>
          <w:sz w:val="24"/>
          <w:szCs w:val="24"/>
          <w:lang w:bidi="en-US"/>
        </w:rPr>
      </w:pPr>
    </w:p>
    <w:p w14:paraId="35A0FD02" w14:textId="77777777" w:rsidR="00A64F7F" w:rsidRPr="00A64F7F" w:rsidRDefault="00A64F7F" w:rsidP="00A64F7F">
      <w:pPr>
        <w:spacing w:after="0" w:line="240" w:lineRule="auto"/>
        <w:ind w:left="1440"/>
        <w:contextualSpacing/>
        <w:jc w:val="both"/>
        <w:rPr>
          <w:rFonts w:ascii="Bookman Old Style" w:eastAsia="Calibri" w:hAnsi="Bookman Old Style" w:cs="Arial"/>
          <w:sz w:val="24"/>
          <w:szCs w:val="24"/>
        </w:rPr>
      </w:pPr>
      <w:bookmarkStart w:id="15" w:name="_Hlk117161982"/>
    </w:p>
    <w:p w14:paraId="7C171242" w14:textId="698160C6" w:rsidR="00A64F7F" w:rsidRPr="00651BBF" w:rsidRDefault="00EB63ED" w:rsidP="005B4DAC">
      <w:pPr>
        <w:numPr>
          <w:ilvl w:val="2"/>
          <w:numId w:val="33"/>
        </w:numPr>
        <w:spacing w:after="200" w:line="276" w:lineRule="auto"/>
        <w:contextualSpacing/>
        <w:rPr>
          <w:rFonts w:ascii="Bookman Old Style" w:eastAsia="Calibri" w:hAnsi="Bookman Old Style" w:cs="Arial"/>
          <w:sz w:val="24"/>
          <w:szCs w:val="24"/>
        </w:rPr>
      </w:pPr>
      <w:bookmarkStart w:id="16" w:name="_Hlk116652033"/>
      <w:bookmarkStart w:id="17" w:name="_Hlk105422655"/>
      <w:r w:rsidRPr="006C45F5">
        <w:rPr>
          <w:rFonts w:ascii="Bookman Old Style" w:hAnsi="Bookman Old Style"/>
          <w:b/>
          <w:bCs/>
          <w:sz w:val="24"/>
          <w:szCs w:val="24"/>
        </w:rPr>
        <w:t xml:space="preserve">RECOMMANDATIONS A SOUMETTRE A L'EXAMEN </w:t>
      </w:r>
      <w:bookmarkEnd w:id="16"/>
      <w:r>
        <w:rPr>
          <w:rFonts w:ascii="Bookman Old Style" w:hAnsi="Bookman Old Style"/>
          <w:b/>
          <w:bCs/>
          <w:sz w:val="24"/>
          <w:szCs w:val="24"/>
        </w:rPr>
        <w:t xml:space="preserve">DE </w:t>
      </w:r>
      <w:r w:rsidRPr="00651BBF">
        <w:rPr>
          <w:rFonts w:ascii="Bookman Old Style" w:hAnsi="Bookman Old Style"/>
          <w:b/>
          <w:bCs/>
          <w:sz w:val="24"/>
          <w:szCs w:val="24"/>
        </w:rPr>
        <w:t>L’ASSEMBLÉE PLÉNIÈRE</w:t>
      </w:r>
    </w:p>
    <w:bookmarkEnd w:id="17"/>
    <w:p w14:paraId="1C247AB2" w14:textId="77777777" w:rsidR="00A64F7F" w:rsidRPr="00651BBF" w:rsidRDefault="00A64F7F" w:rsidP="00A64F7F">
      <w:pPr>
        <w:spacing w:after="0" w:line="240" w:lineRule="auto"/>
        <w:jc w:val="both"/>
        <w:rPr>
          <w:rFonts w:ascii="Bookman Old Style" w:eastAsia="Calibri" w:hAnsi="Bookman Old Style" w:cs="Arial"/>
          <w:b/>
          <w:bCs/>
          <w:sz w:val="24"/>
          <w:szCs w:val="24"/>
          <w:lang w:bidi="en-US"/>
        </w:rPr>
      </w:pPr>
    </w:p>
    <w:p w14:paraId="3E83B6F0" w14:textId="7EE9D369" w:rsidR="00A64F7F" w:rsidRPr="006C45F5" w:rsidRDefault="00A64F7F" w:rsidP="008C6F81">
      <w:pPr>
        <w:pStyle w:val="ListParagraph"/>
        <w:numPr>
          <w:ilvl w:val="3"/>
          <w:numId w:val="33"/>
        </w:numPr>
        <w:jc w:val="both"/>
        <w:rPr>
          <w:rFonts w:ascii="Bookman Old Style" w:eastAsia="Calibri" w:hAnsi="Bookman Old Style" w:cs="Arial"/>
          <w:b/>
          <w:bCs/>
          <w:sz w:val="24"/>
          <w:szCs w:val="24"/>
        </w:rPr>
      </w:pPr>
      <w:r w:rsidRPr="00651BBF">
        <w:rPr>
          <w:rFonts w:ascii="Bookman Old Style" w:hAnsi="Bookman Old Style"/>
          <w:b/>
          <w:bCs/>
          <w:sz w:val="24"/>
          <w:szCs w:val="24"/>
        </w:rPr>
        <w:t>L</w:t>
      </w:r>
      <w:r w:rsidR="00EB63ED" w:rsidRPr="00651BBF">
        <w:rPr>
          <w:rFonts w:ascii="Bookman Old Style" w:hAnsi="Bookman Old Style"/>
          <w:b/>
          <w:bCs/>
          <w:sz w:val="24"/>
          <w:szCs w:val="24"/>
        </w:rPr>
        <w:t>’Assemblée plénière</w:t>
      </w:r>
      <w:r w:rsidRPr="006C45F5">
        <w:rPr>
          <w:rFonts w:ascii="Bookman Old Style" w:hAnsi="Bookman Old Style"/>
          <w:b/>
          <w:bCs/>
          <w:sz w:val="24"/>
          <w:szCs w:val="24"/>
        </w:rPr>
        <w:t xml:space="preserve"> est invité</w:t>
      </w:r>
      <w:r w:rsidR="00EB63ED">
        <w:rPr>
          <w:rFonts w:ascii="Bookman Old Style" w:hAnsi="Bookman Old Style"/>
          <w:b/>
          <w:bCs/>
          <w:sz w:val="24"/>
          <w:szCs w:val="24"/>
        </w:rPr>
        <w:t>e</w:t>
      </w:r>
      <w:r w:rsidRPr="006C45F5">
        <w:rPr>
          <w:rFonts w:ascii="Bookman Old Style" w:hAnsi="Bookman Old Style"/>
          <w:b/>
          <w:bCs/>
          <w:sz w:val="24"/>
          <w:szCs w:val="24"/>
        </w:rPr>
        <w:t xml:space="preserve"> à examiner et à prendre note de l'exécution du</w:t>
      </w:r>
      <w:r w:rsidRPr="006C45F5">
        <w:rPr>
          <w:rFonts w:ascii="Bookman Old Style" w:hAnsi="Bookman Old Style"/>
          <w:sz w:val="24"/>
          <w:szCs w:val="24"/>
        </w:rPr>
        <w:t xml:space="preserve"> </w:t>
      </w:r>
      <w:bookmarkEnd w:id="15"/>
      <w:r w:rsidRPr="006C45F5">
        <w:rPr>
          <w:rFonts w:ascii="Bookman Old Style" w:hAnsi="Bookman Old Style"/>
          <w:b/>
          <w:bCs/>
          <w:sz w:val="24"/>
          <w:szCs w:val="24"/>
        </w:rPr>
        <w:t>budget au 30 septembre 2022, en particulier des points suivants :</w:t>
      </w:r>
    </w:p>
    <w:p w14:paraId="5E0DD879" w14:textId="77777777" w:rsidR="00A64F7F" w:rsidRPr="006C45F5" w:rsidRDefault="00A64F7F" w:rsidP="00A64F7F">
      <w:pPr>
        <w:spacing w:after="0" w:line="240" w:lineRule="auto"/>
        <w:ind w:left="1080"/>
        <w:contextualSpacing/>
        <w:jc w:val="both"/>
        <w:rPr>
          <w:rFonts w:ascii="Bookman Old Style" w:eastAsia="Calibri" w:hAnsi="Bookman Old Style" w:cs="Arial"/>
          <w:b/>
          <w:bCs/>
          <w:sz w:val="24"/>
          <w:szCs w:val="24"/>
          <w:lang w:bidi="en-US"/>
        </w:rPr>
      </w:pPr>
    </w:p>
    <w:p w14:paraId="54367824" w14:textId="6B605316" w:rsidR="00A64F7F" w:rsidRPr="00651BBF" w:rsidRDefault="00A64F7F" w:rsidP="00651BBF">
      <w:pPr>
        <w:numPr>
          <w:ilvl w:val="0"/>
          <w:numId w:val="24"/>
        </w:numPr>
        <w:spacing w:after="0" w:line="240" w:lineRule="auto"/>
        <w:ind w:left="1701" w:hanging="567"/>
        <w:contextualSpacing/>
        <w:jc w:val="both"/>
        <w:rPr>
          <w:rFonts w:ascii="Bookman Old Style" w:eastAsia="Calibri" w:hAnsi="Bookman Old Style" w:cs="Arial"/>
          <w:b/>
          <w:bCs/>
          <w:sz w:val="24"/>
          <w:szCs w:val="24"/>
        </w:rPr>
      </w:pPr>
      <w:r w:rsidRPr="006C45F5">
        <w:rPr>
          <w:rFonts w:ascii="Bookman Old Style" w:hAnsi="Bookman Old Style"/>
          <w:b/>
          <w:bCs/>
          <w:sz w:val="24"/>
          <w:szCs w:val="24"/>
        </w:rPr>
        <w:t>L'exécution du budget, y compris les raisons des écarts défavorables</w:t>
      </w:r>
      <w:bookmarkStart w:id="18" w:name="_Hlk105420056"/>
      <w:r w:rsidR="00EB63ED">
        <w:rPr>
          <w:rFonts w:ascii="Bookman Old Style" w:hAnsi="Bookman Old Style"/>
          <w:b/>
          <w:bCs/>
          <w:sz w:val="24"/>
          <w:szCs w:val="24"/>
        </w:rPr>
        <w:t xml:space="preserve"> </w:t>
      </w:r>
      <w:r w:rsidRPr="006C45F5">
        <w:rPr>
          <w:rFonts w:ascii="Bookman Old Style" w:hAnsi="Bookman Old Style"/>
          <w:b/>
          <w:sz w:val="24"/>
          <w:szCs w:val="24"/>
        </w:rPr>
        <w:t>; et</w:t>
      </w:r>
    </w:p>
    <w:p w14:paraId="2B1A9706" w14:textId="77777777" w:rsidR="00651BBF" w:rsidRPr="006C45F5" w:rsidRDefault="00651BBF" w:rsidP="00651BBF">
      <w:pPr>
        <w:spacing w:after="0" w:line="240" w:lineRule="auto"/>
        <w:ind w:left="1701" w:hanging="567"/>
        <w:contextualSpacing/>
        <w:jc w:val="both"/>
        <w:rPr>
          <w:rFonts w:ascii="Bookman Old Style" w:eastAsia="Calibri" w:hAnsi="Bookman Old Style" w:cs="Arial"/>
          <w:b/>
          <w:bCs/>
          <w:sz w:val="24"/>
          <w:szCs w:val="24"/>
        </w:rPr>
      </w:pPr>
    </w:p>
    <w:p w14:paraId="382B7A2E" w14:textId="77777777" w:rsidR="00987B7B" w:rsidRPr="006C45F5" w:rsidRDefault="00A64F7F" w:rsidP="00651BBF">
      <w:pPr>
        <w:numPr>
          <w:ilvl w:val="0"/>
          <w:numId w:val="24"/>
        </w:numPr>
        <w:spacing w:after="0" w:line="240" w:lineRule="auto"/>
        <w:ind w:left="1701" w:hanging="567"/>
        <w:contextualSpacing/>
        <w:jc w:val="both"/>
        <w:rPr>
          <w:rFonts w:ascii="Bookman Old Style" w:eastAsia="Calibri" w:hAnsi="Bookman Old Style" w:cs="Arial"/>
          <w:b/>
          <w:bCs/>
          <w:sz w:val="24"/>
          <w:szCs w:val="24"/>
        </w:rPr>
      </w:pPr>
      <w:r w:rsidRPr="006C45F5">
        <w:rPr>
          <w:rFonts w:ascii="Bookman Old Style" w:hAnsi="Bookman Old Style"/>
          <w:b/>
          <w:sz w:val="24"/>
          <w:szCs w:val="24"/>
        </w:rPr>
        <w:t>L'évolution du budget prévisionnel pour la période du 1</w:t>
      </w:r>
      <w:r w:rsidRPr="006C45F5">
        <w:rPr>
          <w:rFonts w:ascii="Bookman Old Style" w:hAnsi="Bookman Old Style"/>
          <w:b/>
          <w:sz w:val="24"/>
          <w:szCs w:val="24"/>
          <w:vertAlign w:val="superscript"/>
        </w:rPr>
        <w:t>er</w:t>
      </w:r>
      <w:r w:rsidRPr="006C45F5">
        <w:rPr>
          <w:rFonts w:ascii="Bookman Old Style" w:hAnsi="Bookman Old Style"/>
          <w:b/>
          <w:sz w:val="24"/>
          <w:szCs w:val="24"/>
        </w:rPr>
        <w:t xml:space="preserve"> octobre 2022 au 31 mars 2023.  </w:t>
      </w:r>
    </w:p>
    <w:bookmarkEnd w:id="18"/>
    <w:p w14:paraId="3EE9A020" w14:textId="6AB1DA08" w:rsidR="00A64F7F" w:rsidRPr="006C45F5" w:rsidRDefault="00A64F7F" w:rsidP="00F72C4D">
      <w:pPr>
        <w:spacing w:after="0" w:line="240" w:lineRule="auto"/>
        <w:contextualSpacing/>
        <w:jc w:val="both"/>
        <w:rPr>
          <w:rFonts w:ascii="Bookman Old Style" w:eastAsia="Calibri" w:hAnsi="Bookman Old Style" w:cs="Arial"/>
          <w:sz w:val="24"/>
          <w:szCs w:val="24"/>
          <w:lang w:bidi="en-US"/>
        </w:rPr>
      </w:pPr>
    </w:p>
    <w:p w14:paraId="44065274" w14:textId="1CA90817" w:rsidR="002C5115" w:rsidRPr="006C45F5" w:rsidRDefault="002C5115" w:rsidP="008C6F81">
      <w:pPr>
        <w:pStyle w:val="ListParagraph"/>
        <w:numPr>
          <w:ilvl w:val="3"/>
          <w:numId w:val="33"/>
        </w:numPr>
        <w:jc w:val="both"/>
        <w:rPr>
          <w:rFonts w:ascii="Bookman Old Style" w:eastAsia="Calibri" w:hAnsi="Bookman Old Style" w:cs="Arial"/>
          <w:b/>
          <w:bCs/>
          <w:sz w:val="24"/>
          <w:szCs w:val="24"/>
        </w:rPr>
      </w:pPr>
      <w:r w:rsidRPr="00651BBF">
        <w:rPr>
          <w:rFonts w:ascii="Bookman Old Style" w:hAnsi="Bookman Old Style"/>
          <w:b/>
          <w:sz w:val="24"/>
          <w:szCs w:val="24"/>
        </w:rPr>
        <w:t>L</w:t>
      </w:r>
      <w:r w:rsidR="00EB63ED" w:rsidRPr="00651BBF">
        <w:rPr>
          <w:rFonts w:ascii="Bookman Old Style" w:hAnsi="Bookman Old Style"/>
          <w:b/>
          <w:sz w:val="24"/>
          <w:szCs w:val="24"/>
        </w:rPr>
        <w:t>’Assemblée plénière</w:t>
      </w:r>
      <w:r w:rsidRPr="006C45F5">
        <w:rPr>
          <w:rFonts w:ascii="Bookman Old Style" w:hAnsi="Bookman Old Style"/>
          <w:b/>
          <w:sz w:val="24"/>
          <w:szCs w:val="24"/>
        </w:rPr>
        <w:t xml:space="preserve"> est invité</w:t>
      </w:r>
      <w:r w:rsidR="00EB63ED">
        <w:rPr>
          <w:rFonts w:ascii="Bookman Old Style" w:hAnsi="Bookman Old Style"/>
          <w:b/>
          <w:sz w:val="24"/>
          <w:szCs w:val="24"/>
        </w:rPr>
        <w:t>e</w:t>
      </w:r>
      <w:r w:rsidRPr="006C45F5">
        <w:rPr>
          <w:rFonts w:ascii="Bookman Old Style" w:hAnsi="Bookman Old Style"/>
          <w:b/>
          <w:sz w:val="24"/>
          <w:szCs w:val="24"/>
        </w:rPr>
        <w:t xml:space="preserve"> à examiner et à approuver la variation des fonds proposée ci-dessous dans le cadre du budget 2022/2023 approuvé : </w:t>
      </w:r>
    </w:p>
    <w:p w14:paraId="1B2E4B30" w14:textId="77777777" w:rsidR="008C6F81" w:rsidRPr="00651BBF" w:rsidRDefault="00C03C79" w:rsidP="00651BBF">
      <w:pPr>
        <w:pStyle w:val="ListParagraph"/>
        <w:numPr>
          <w:ilvl w:val="0"/>
          <w:numId w:val="35"/>
        </w:numPr>
        <w:ind w:left="1560" w:hanging="426"/>
        <w:jc w:val="both"/>
        <w:rPr>
          <w:rFonts w:ascii="Bookman Old Style" w:eastAsia="Calibri" w:hAnsi="Bookman Old Style" w:cs="Arial"/>
          <w:b/>
          <w:bCs/>
          <w:sz w:val="24"/>
          <w:szCs w:val="24"/>
        </w:rPr>
      </w:pPr>
      <w:r w:rsidRPr="006C45F5">
        <w:rPr>
          <w:rFonts w:ascii="Bookman Old Style" w:hAnsi="Bookman Old Style"/>
          <w:b/>
          <w:sz w:val="24"/>
          <w:szCs w:val="24"/>
        </w:rPr>
        <w:lastRenderedPageBreak/>
        <w:t>Qu'un montant de N$ 120 000 soit transféré de la ligne budgétaire du remboursement du capital de prêt immobilier à la ligne budgétaire des frais financiers.</w:t>
      </w:r>
    </w:p>
    <w:p w14:paraId="2355DA42" w14:textId="77777777" w:rsidR="00651BBF" w:rsidRPr="006C45F5" w:rsidRDefault="00651BBF" w:rsidP="00651BBF">
      <w:pPr>
        <w:pStyle w:val="ListParagraph"/>
        <w:ind w:left="1560" w:hanging="426"/>
        <w:jc w:val="both"/>
        <w:rPr>
          <w:rFonts w:ascii="Bookman Old Style" w:eastAsia="Calibri" w:hAnsi="Bookman Old Style" w:cs="Arial"/>
          <w:b/>
          <w:bCs/>
          <w:sz w:val="24"/>
          <w:szCs w:val="24"/>
        </w:rPr>
      </w:pPr>
    </w:p>
    <w:p w14:paraId="566699B7" w14:textId="57C0B269" w:rsidR="008C662F" w:rsidRPr="008C662F" w:rsidRDefault="00C03C79" w:rsidP="008C662F">
      <w:pPr>
        <w:pStyle w:val="ListParagraph"/>
        <w:numPr>
          <w:ilvl w:val="0"/>
          <w:numId w:val="35"/>
        </w:numPr>
        <w:ind w:left="1560" w:hanging="426"/>
        <w:jc w:val="both"/>
        <w:rPr>
          <w:rFonts w:ascii="Bookman Old Style" w:eastAsia="Calibri" w:hAnsi="Bookman Old Style" w:cs="Arial"/>
          <w:b/>
          <w:bCs/>
          <w:sz w:val="24"/>
          <w:szCs w:val="24"/>
        </w:rPr>
      </w:pPr>
      <w:r w:rsidRPr="006C45F5">
        <w:rPr>
          <w:rFonts w:ascii="Bookman Old Style" w:hAnsi="Bookman Old Style"/>
          <w:b/>
          <w:sz w:val="24"/>
          <w:szCs w:val="24"/>
        </w:rPr>
        <w:t>Qu'un montant de N$ 100 000 soit transféré de la ligne budgétaire du remboursement du capital des véhicules à moteur à la ligne budgétaire des frais financiers.</w:t>
      </w:r>
      <w:bookmarkStart w:id="19" w:name="_Hlk118376462"/>
    </w:p>
    <w:p w14:paraId="0F0120F9" w14:textId="6AAEFE81" w:rsidR="009037DD" w:rsidRPr="00651BBF" w:rsidRDefault="00265470" w:rsidP="009037DD">
      <w:pPr>
        <w:pStyle w:val="ListParagraph"/>
        <w:numPr>
          <w:ilvl w:val="3"/>
          <w:numId w:val="33"/>
        </w:numPr>
        <w:jc w:val="both"/>
        <w:rPr>
          <w:rFonts w:ascii="Bookman Old Style" w:eastAsia="Calibri" w:hAnsi="Bookman Old Style" w:cs="Arial"/>
          <w:b/>
          <w:sz w:val="24"/>
          <w:szCs w:val="24"/>
        </w:rPr>
      </w:pPr>
      <w:r w:rsidRPr="006C45F5">
        <w:rPr>
          <w:rFonts w:ascii="Bookman Old Style" w:hAnsi="Bookman Old Style"/>
          <w:b/>
          <w:sz w:val="24"/>
          <w:szCs w:val="24"/>
        </w:rPr>
        <w:t>L</w:t>
      </w:r>
      <w:r w:rsidR="00EB63ED">
        <w:rPr>
          <w:rFonts w:ascii="Bookman Old Style" w:hAnsi="Bookman Old Style"/>
          <w:b/>
          <w:sz w:val="24"/>
          <w:szCs w:val="24"/>
        </w:rPr>
        <w:t>’</w:t>
      </w:r>
      <w:r w:rsidR="00EB63ED" w:rsidRPr="00651BBF">
        <w:rPr>
          <w:rFonts w:ascii="Bookman Old Style" w:hAnsi="Bookman Old Style"/>
          <w:b/>
          <w:sz w:val="24"/>
          <w:szCs w:val="24"/>
        </w:rPr>
        <w:t>Assemblée plénière</w:t>
      </w:r>
      <w:r w:rsidRPr="006C45F5">
        <w:rPr>
          <w:rFonts w:ascii="Bookman Old Style" w:hAnsi="Bookman Old Style"/>
          <w:b/>
          <w:sz w:val="24"/>
          <w:szCs w:val="24"/>
        </w:rPr>
        <w:t xml:space="preserve"> est invité</w:t>
      </w:r>
      <w:r w:rsidR="00EB63ED">
        <w:rPr>
          <w:rFonts w:ascii="Bookman Old Style" w:hAnsi="Bookman Old Style"/>
          <w:b/>
          <w:sz w:val="24"/>
          <w:szCs w:val="24"/>
        </w:rPr>
        <w:t>e</w:t>
      </w:r>
      <w:r w:rsidRPr="006C45F5">
        <w:rPr>
          <w:rFonts w:ascii="Bookman Old Style" w:hAnsi="Bookman Old Style"/>
          <w:b/>
          <w:sz w:val="24"/>
          <w:szCs w:val="24"/>
        </w:rPr>
        <w:t xml:space="preserve"> à examiner et à approuver les affectations suivantes des bénéfices non distribués : </w:t>
      </w:r>
    </w:p>
    <w:p w14:paraId="14D7A4A4" w14:textId="77777777" w:rsidR="00651BBF" w:rsidRPr="006C45F5" w:rsidRDefault="00651BBF" w:rsidP="00651BBF">
      <w:pPr>
        <w:pStyle w:val="ListParagraph"/>
        <w:ind w:left="1080" w:firstLine="0"/>
        <w:jc w:val="both"/>
        <w:rPr>
          <w:rFonts w:ascii="Bookman Old Style" w:eastAsia="Calibri" w:hAnsi="Bookman Old Style" w:cs="Arial"/>
          <w:b/>
          <w:sz w:val="24"/>
          <w:szCs w:val="24"/>
        </w:rPr>
      </w:pPr>
    </w:p>
    <w:p w14:paraId="59279469" w14:textId="224156F4" w:rsidR="008C2471" w:rsidRPr="00651BBF" w:rsidRDefault="00C353C6" w:rsidP="00651BBF">
      <w:pPr>
        <w:pStyle w:val="ListParagraph"/>
        <w:numPr>
          <w:ilvl w:val="1"/>
          <w:numId w:val="24"/>
        </w:numPr>
        <w:ind w:left="1560" w:hanging="426"/>
        <w:jc w:val="both"/>
        <w:rPr>
          <w:rFonts w:ascii="Bookman Old Style" w:eastAsia="Calibri" w:hAnsi="Bookman Old Style" w:cs="Arial"/>
          <w:b/>
          <w:sz w:val="24"/>
          <w:szCs w:val="24"/>
        </w:rPr>
      </w:pPr>
      <w:r w:rsidRPr="00651BBF">
        <w:rPr>
          <w:rFonts w:ascii="Bookman Old Style" w:hAnsi="Bookman Old Style"/>
          <w:b/>
          <w:sz w:val="24"/>
          <w:szCs w:val="24"/>
        </w:rPr>
        <w:t xml:space="preserve">Qu'un montant de N$ 225 000 soit alloué des bénéfices non répartis à la ligne budgétaire des réunions des comités permanents afin de faciliter les réunions virtuelles de novembre 2022. </w:t>
      </w:r>
      <w:bookmarkEnd w:id="19"/>
    </w:p>
    <w:p w14:paraId="6EDAAA7F" w14:textId="77777777" w:rsidR="00651BBF" w:rsidRPr="00651BBF" w:rsidRDefault="00651BBF" w:rsidP="00651BBF">
      <w:pPr>
        <w:pStyle w:val="ListParagraph"/>
        <w:ind w:left="1560" w:hanging="426"/>
        <w:jc w:val="both"/>
        <w:rPr>
          <w:rFonts w:ascii="Bookman Old Style" w:eastAsia="Calibri" w:hAnsi="Bookman Old Style" w:cs="Arial"/>
          <w:b/>
          <w:sz w:val="24"/>
          <w:szCs w:val="24"/>
        </w:rPr>
      </w:pPr>
    </w:p>
    <w:p w14:paraId="0E9DE0B1" w14:textId="2AF1B0F0" w:rsidR="00995DB5" w:rsidRPr="00651BBF" w:rsidRDefault="001F3A04" w:rsidP="00651BBF">
      <w:pPr>
        <w:pStyle w:val="ListParagraph"/>
        <w:numPr>
          <w:ilvl w:val="1"/>
          <w:numId w:val="24"/>
        </w:numPr>
        <w:ind w:left="1560" w:hanging="426"/>
        <w:jc w:val="both"/>
        <w:rPr>
          <w:rFonts w:ascii="Bookman Old Style" w:eastAsia="Calibri" w:hAnsi="Bookman Old Style" w:cs="Arial"/>
          <w:b/>
          <w:sz w:val="24"/>
          <w:szCs w:val="24"/>
        </w:rPr>
      </w:pPr>
      <w:r w:rsidRPr="00651BBF">
        <w:rPr>
          <w:rFonts w:ascii="Bookman Old Style" w:hAnsi="Bookman Old Style"/>
          <w:b/>
          <w:sz w:val="24"/>
          <w:szCs w:val="24"/>
        </w:rPr>
        <w:t xml:space="preserve">Qu'un montant de N$ </w:t>
      </w:r>
      <w:r w:rsidR="00EB63ED" w:rsidRPr="00651BBF">
        <w:rPr>
          <w:rFonts w:ascii="Bookman Old Style" w:hAnsi="Bookman Old Style"/>
          <w:b/>
          <w:sz w:val="24"/>
          <w:szCs w:val="24"/>
        </w:rPr>
        <w:t>1 400</w:t>
      </w:r>
      <w:r w:rsidRPr="00651BBF">
        <w:rPr>
          <w:rFonts w:ascii="Bookman Old Style" w:hAnsi="Bookman Old Style"/>
          <w:b/>
          <w:sz w:val="24"/>
          <w:szCs w:val="24"/>
        </w:rPr>
        <w:t xml:space="preserve"> 000 soit alloué des bénéfices non distribués à la ligne budgétaire de l'Assemblée plénière pour la 52e Assemblée plénière, qui doit se tenir physiquement en RDC en novembre/décembre 2022, afin de combler le déficit budgétaire prévu de N$ </w:t>
      </w:r>
      <w:r w:rsidR="00EB63ED" w:rsidRPr="00651BBF">
        <w:rPr>
          <w:rFonts w:ascii="Bookman Old Style" w:hAnsi="Bookman Old Style"/>
          <w:b/>
          <w:sz w:val="24"/>
          <w:szCs w:val="24"/>
        </w:rPr>
        <w:t>1 400</w:t>
      </w:r>
      <w:r w:rsidRPr="00651BBF">
        <w:rPr>
          <w:rFonts w:ascii="Bookman Old Style" w:hAnsi="Bookman Old Style"/>
          <w:b/>
          <w:sz w:val="24"/>
          <w:szCs w:val="24"/>
        </w:rPr>
        <w:t xml:space="preserve"> 000. Le coût total estimé pour la 52e Assemblée plénière est de N$ </w:t>
      </w:r>
      <w:r w:rsidR="00EB63ED" w:rsidRPr="00651BBF">
        <w:rPr>
          <w:rFonts w:ascii="Bookman Old Style" w:hAnsi="Bookman Old Style"/>
          <w:b/>
          <w:sz w:val="24"/>
          <w:szCs w:val="24"/>
        </w:rPr>
        <w:t>2</w:t>
      </w:r>
      <w:r w:rsidRPr="00651BBF">
        <w:rPr>
          <w:rFonts w:ascii="Bookman Old Style" w:hAnsi="Bookman Old Style"/>
          <w:b/>
          <w:sz w:val="24"/>
          <w:szCs w:val="24"/>
        </w:rPr>
        <w:t>,</w:t>
      </w:r>
      <w:r w:rsidR="00EB63ED" w:rsidRPr="00651BBF">
        <w:rPr>
          <w:rFonts w:ascii="Bookman Old Style" w:hAnsi="Bookman Old Style"/>
          <w:b/>
          <w:sz w:val="24"/>
          <w:szCs w:val="24"/>
        </w:rPr>
        <w:t>5</w:t>
      </w:r>
      <w:r w:rsidRPr="00651BBF">
        <w:rPr>
          <w:rFonts w:ascii="Bookman Old Style" w:hAnsi="Bookman Old Style"/>
          <w:b/>
          <w:sz w:val="24"/>
          <w:szCs w:val="24"/>
        </w:rPr>
        <w:t xml:space="preserve"> </w:t>
      </w:r>
      <w:r w:rsidR="00EB63ED" w:rsidRPr="00651BBF">
        <w:rPr>
          <w:rFonts w:ascii="Bookman Old Style" w:hAnsi="Bookman Old Style"/>
          <w:b/>
          <w:sz w:val="24"/>
          <w:szCs w:val="24"/>
        </w:rPr>
        <w:t>millions</w:t>
      </w:r>
      <w:r w:rsidRPr="00651BBF">
        <w:rPr>
          <w:rFonts w:ascii="Bookman Old Style" w:hAnsi="Bookman Old Style"/>
          <w:b/>
          <w:sz w:val="24"/>
          <w:szCs w:val="24"/>
        </w:rPr>
        <w:t>.</w:t>
      </w:r>
    </w:p>
    <w:p w14:paraId="4E98AA2E" w14:textId="77777777" w:rsidR="00662875" w:rsidRPr="006C45F5" w:rsidRDefault="00662875" w:rsidP="00662875">
      <w:pPr>
        <w:pStyle w:val="ListParagraph"/>
        <w:ind w:left="1134" w:firstLine="0"/>
        <w:jc w:val="both"/>
        <w:rPr>
          <w:rFonts w:ascii="Bookman Old Style" w:eastAsia="Calibri" w:hAnsi="Bookman Old Style" w:cs="Arial"/>
          <w:b/>
          <w:sz w:val="24"/>
          <w:szCs w:val="24"/>
          <w:highlight w:val="yellow"/>
        </w:rPr>
      </w:pPr>
    </w:p>
    <w:p w14:paraId="50F5C7FF" w14:textId="0285A0B5" w:rsidR="00A64F7F" w:rsidRPr="006C45F5" w:rsidRDefault="00A64F7F" w:rsidP="0032361D">
      <w:pPr>
        <w:pStyle w:val="ListParagraph"/>
        <w:numPr>
          <w:ilvl w:val="0"/>
          <w:numId w:val="36"/>
        </w:numPr>
        <w:jc w:val="both"/>
        <w:rPr>
          <w:rFonts w:ascii="Bookman Old Style" w:eastAsia="Calibri" w:hAnsi="Bookman Old Style" w:cs="Arial"/>
          <w:b/>
          <w:sz w:val="24"/>
          <w:szCs w:val="24"/>
          <w:u w:val="single"/>
        </w:rPr>
      </w:pPr>
      <w:r w:rsidRPr="006C45F5">
        <w:rPr>
          <w:rFonts w:ascii="Bookman Old Style" w:hAnsi="Bookman Old Style"/>
          <w:b/>
          <w:sz w:val="24"/>
          <w:szCs w:val="24"/>
          <w:u w:val="single"/>
        </w:rPr>
        <w:t>RAPPORTS FINANCIERS POUR LES PROJETS FINANCÉS PAR LES BAILLEURS DE FONDS</w:t>
      </w:r>
    </w:p>
    <w:p w14:paraId="68447928" w14:textId="4B677DB7" w:rsidR="00FC0017" w:rsidRPr="00A64F7F" w:rsidRDefault="00FC0017" w:rsidP="00FC0017">
      <w:pPr>
        <w:spacing w:after="0" w:line="240" w:lineRule="auto"/>
        <w:ind w:left="720" w:hanging="720"/>
        <w:jc w:val="both"/>
        <w:rPr>
          <w:rFonts w:ascii="Bookman Old Style" w:eastAsia="Calibri" w:hAnsi="Bookman Old Style" w:cs="Arial"/>
          <w:b/>
          <w:sz w:val="24"/>
          <w:szCs w:val="24"/>
        </w:rPr>
      </w:pPr>
      <w:r>
        <w:rPr>
          <w:rFonts w:ascii="Bookman Old Style" w:hAnsi="Bookman Old Style"/>
          <w:b/>
          <w:sz w:val="24"/>
        </w:rPr>
        <w:t>3.1.</w:t>
      </w:r>
      <w:r>
        <w:rPr>
          <w:rFonts w:ascii="Bookman Old Style" w:hAnsi="Bookman Old Style"/>
          <w:b/>
          <w:sz w:val="24"/>
        </w:rPr>
        <w:tab/>
      </w:r>
      <w:bookmarkStart w:id="20" w:name="_Hlk85390815"/>
      <w:r>
        <w:rPr>
          <w:rFonts w:ascii="Bookman Old Style" w:hAnsi="Bookman Old Style"/>
          <w:b/>
          <w:sz w:val="24"/>
        </w:rPr>
        <w:t>PROJET SIDA SUR LA SANTÉ ET LES DROITS SEXUELS ET REPRODUCTIFS (</w:t>
      </w:r>
      <w:bookmarkEnd w:id="20"/>
      <w:r>
        <w:rPr>
          <w:rFonts w:ascii="Bookman Old Style" w:hAnsi="Bookman Old Style"/>
          <w:b/>
          <w:sz w:val="24"/>
        </w:rPr>
        <w:t>SDSR)</w:t>
      </w:r>
    </w:p>
    <w:p w14:paraId="25E8CFC5" w14:textId="77777777" w:rsidR="00FC0017" w:rsidRPr="00A64F7F" w:rsidRDefault="00FC0017" w:rsidP="00FC0017">
      <w:pPr>
        <w:spacing w:after="0" w:line="240" w:lineRule="auto"/>
        <w:ind w:left="720" w:hanging="720"/>
        <w:jc w:val="both"/>
        <w:rPr>
          <w:rFonts w:ascii="Bookman Old Style" w:eastAsia="Calibri" w:hAnsi="Bookman Old Style" w:cs="Arial"/>
          <w:b/>
          <w:sz w:val="24"/>
          <w:szCs w:val="24"/>
          <w:lang w:bidi="en-US"/>
        </w:rPr>
      </w:pPr>
    </w:p>
    <w:p w14:paraId="6F77830B" w14:textId="0446BF1D" w:rsidR="00FC0017" w:rsidRPr="00A64F7F" w:rsidRDefault="00FC0017" w:rsidP="00FC0017">
      <w:pPr>
        <w:spacing w:after="0" w:line="240" w:lineRule="auto"/>
        <w:ind w:left="720" w:hanging="720"/>
        <w:jc w:val="both"/>
        <w:rPr>
          <w:rFonts w:ascii="Bookman Old Style" w:eastAsia="Times New Roman" w:hAnsi="Bookman Old Style" w:cs="Arial"/>
          <w:sz w:val="24"/>
          <w:szCs w:val="24"/>
        </w:rPr>
      </w:pPr>
      <w:r>
        <w:rPr>
          <w:rFonts w:ascii="Bookman Old Style" w:hAnsi="Bookman Old Style"/>
          <w:sz w:val="24"/>
        </w:rPr>
        <w:t>3.1.1.</w:t>
      </w:r>
      <w:r>
        <w:rPr>
          <w:rFonts w:ascii="Bookman Old Style" w:hAnsi="Bookman Old Style"/>
          <w:sz w:val="24"/>
        </w:rPr>
        <w:tab/>
        <w:t xml:space="preserve"> </w:t>
      </w:r>
      <w:proofErr w:type="gramStart"/>
      <w:r>
        <w:rPr>
          <w:rFonts w:ascii="Bookman Old Style" w:hAnsi="Bookman Old Style"/>
          <w:sz w:val="24"/>
        </w:rPr>
        <w:t>Suite à</w:t>
      </w:r>
      <w:proofErr w:type="gramEnd"/>
      <w:r>
        <w:rPr>
          <w:rFonts w:ascii="Bookman Old Style" w:hAnsi="Bookman Old Style"/>
          <w:sz w:val="24"/>
        </w:rPr>
        <w:t xml:space="preserve"> l'approbation de la prorogation des coûts en 2021, le projet SDSR s'étend désormais du 1</w:t>
      </w:r>
      <w:r>
        <w:rPr>
          <w:rFonts w:ascii="Bookman Old Style" w:hAnsi="Bookman Old Style"/>
          <w:sz w:val="24"/>
          <w:vertAlign w:val="superscript"/>
        </w:rPr>
        <w:t>er</w:t>
      </w:r>
      <w:r>
        <w:rPr>
          <w:rFonts w:ascii="Bookman Old Style" w:hAnsi="Bookman Old Style"/>
          <w:sz w:val="24"/>
        </w:rPr>
        <w:t xml:space="preserve"> juillet 2019 au 31 mars 2023 et comprend une composante de responsabilité démocratique en plus des activités SDSR initialement approuvées. Le projet dispose d'un budget total révisé de US$ 4.095.913 (35 millions de couronnes suédoises) sur une période de 4 ans. Les fonds SDSR sont conservés sur des comptes bancaires séparés et les états financiers sont préparés en dollars américains et audités séparément. </w:t>
      </w:r>
    </w:p>
    <w:p w14:paraId="56EB2BF7" w14:textId="58A3CBBD" w:rsidR="00FC0017" w:rsidRPr="00A64F7F" w:rsidRDefault="00FC0017" w:rsidP="00FC0017">
      <w:pPr>
        <w:spacing w:after="0" w:line="240" w:lineRule="auto"/>
        <w:ind w:left="720" w:hanging="720"/>
        <w:jc w:val="both"/>
        <w:rPr>
          <w:rFonts w:ascii="Bookman Old Style" w:eastAsia="Times New Roman" w:hAnsi="Bookman Old Style" w:cs="Arial"/>
          <w:sz w:val="24"/>
          <w:szCs w:val="24"/>
          <w:lang w:bidi="en-US"/>
        </w:rPr>
      </w:pPr>
    </w:p>
    <w:p w14:paraId="17027D06" w14:textId="0F445558" w:rsidR="00FC0017" w:rsidRPr="00CE5529" w:rsidRDefault="001E1940" w:rsidP="00FC0017">
      <w:pPr>
        <w:spacing w:after="0" w:line="240" w:lineRule="auto"/>
        <w:jc w:val="both"/>
        <w:rPr>
          <w:rFonts w:ascii="Bookman Old Style" w:eastAsia="Times New Roman" w:hAnsi="Bookman Old Style" w:cs="Arial"/>
          <w:sz w:val="24"/>
          <w:szCs w:val="24"/>
        </w:rPr>
      </w:pPr>
      <w:r>
        <w:rPr>
          <w:rFonts w:ascii="Bookman Old Style" w:hAnsi="Bookman Old Style"/>
          <w:sz w:val="24"/>
        </w:rPr>
        <w:t>3.1.2.</w:t>
      </w:r>
      <w:r>
        <w:rPr>
          <w:rFonts w:ascii="Bookman Old Style" w:hAnsi="Bookman Old Style"/>
          <w:sz w:val="24"/>
        </w:rPr>
        <w:tab/>
        <w:t>Performance financière au 30 septembre 2022</w:t>
      </w:r>
    </w:p>
    <w:p w14:paraId="5582FDEF" w14:textId="3CD46CB2" w:rsidR="00FC0017" w:rsidRPr="00A64F7F" w:rsidRDefault="00FC0017" w:rsidP="00FC0017">
      <w:pPr>
        <w:spacing w:after="0" w:line="240" w:lineRule="auto"/>
        <w:ind w:left="720"/>
        <w:jc w:val="both"/>
        <w:rPr>
          <w:rFonts w:ascii="Bookman Old Style" w:eastAsia="Times New Roman" w:hAnsi="Bookman Old Style" w:cs="Arial"/>
          <w:sz w:val="24"/>
          <w:szCs w:val="24"/>
        </w:rPr>
      </w:pPr>
      <w:r>
        <w:rPr>
          <w:rFonts w:ascii="Bookman Old Style" w:hAnsi="Bookman Old Style"/>
          <w:sz w:val="24"/>
        </w:rPr>
        <w:t xml:space="preserve">Le total des subventions reçues et des fonds utilisés au cours des exercices 2021/2022 et des 6 mois au 30 septembre 2022 est le </w:t>
      </w:r>
      <w:proofErr w:type="gramStart"/>
      <w:r>
        <w:rPr>
          <w:rFonts w:ascii="Bookman Old Style" w:hAnsi="Bookman Old Style"/>
          <w:sz w:val="24"/>
        </w:rPr>
        <w:t>suivant:</w:t>
      </w:r>
      <w:proofErr w:type="gramEnd"/>
    </w:p>
    <w:p w14:paraId="52AB9BAB" w14:textId="77777777" w:rsidR="00FC0017" w:rsidRPr="00A64F7F" w:rsidRDefault="00FC0017" w:rsidP="00FC0017">
      <w:pPr>
        <w:spacing w:after="0" w:line="240" w:lineRule="auto"/>
        <w:jc w:val="both"/>
        <w:rPr>
          <w:rFonts w:ascii="Bookman Old Style" w:eastAsia="Times New Roman" w:hAnsi="Bookman Old Style" w:cs="Arial"/>
          <w:b/>
          <w:bCs/>
          <w:sz w:val="24"/>
          <w:szCs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2021/30</w:t>
      </w:r>
      <w:r>
        <w:rPr>
          <w:rFonts w:ascii="Bookman Old Style" w:hAnsi="Bookman Old Style"/>
          <w:b/>
          <w:sz w:val="24"/>
        </w:rPr>
        <w:tab/>
        <w:t>septembre 2022</w:t>
      </w:r>
    </w:p>
    <w:p w14:paraId="1C7FCC1C" w14:textId="77777777" w:rsidR="00FC0017" w:rsidRPr="00A64F7F" w:rsidRDefault="00FC0017" w:rsidP="00FC0017">
      <w:pPr>
        <w:spacing w:after="0" w:line="240" w:lineRule="auto"/>
        <w:jc w:val="both"/>
        <w:rPr>
          <w:rFonts w:ascii="Bookman Old Style" w:eastAsia="Times New Roman" w:hAnsi="Bookman Old Style" w:cs="Arial"/>
          <w:sz w:val="24"/>
          <w:szCs w:val="24"/>
        </w:rPr>
      </w:pP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u w:val="single"/>
        </w:rPr>
        <w:tab/>
        <w:t>US$</w:t>
      </w:r>
      <w:r>
        <w:rPr>
          <w:rFonts w:ascii="Bookman Old Style" w:hAnsi="Bookman Old Style"/>
          <w:b/>
          <w:sz w:val="24"/>
        </w:rPr>
        <w:tab/>
      </w:r>
      <w:r>
        <w:rPr>
          <w:rFonts w:ascii="Bookman Old Style" w:hAnsi="Bookman Old Style"/>
          <w:b/>
          <w:sz w:val="24"/>
        </w:rPr>
        <w:tab/>
      </w:r>
      <w:r>
        <w:rPr>
          <w:rFonts w:ascii="Bookman Old Style" w:hAnsi="Bookman Old Style"/>
          <w:b/>
          <w:sz w:val="24"/>
          <w:u w:val="single"/>
        </w:rPr>
        <w:tab/>
        <w:t>US</w:t>
      </w:r>
      <w:r>
        <w:rPr>
          <w:rFonts w:ascii="Bookman Old Style" w:hAnsi="Bookman Old Style"/>
          <w:sz w:val="24"/>
          <w:u w:val="single"/>
        </w:rPr>
        <w:t>$</w:t>
      </w:r>
    </w:p>
    <w:p w14:paraId="6DC6119B" w14:textId="3AEC23B5" w:rsidR="00FC0017" w:rsidRPr="00A64F7F" w:rsidRDefault="00FC0017" w:rsidP="00FC0017">
      <w:pPr>
        <w:spacing w:after="0" w:line="240" w:lineRule="auto"/>
        <w:ind w:firstLine="720"/>
        <w:jc w:val="both"/>
        <w:rPr>
          <w:rFonts w:ascii="Bookman Old Style" w:eastAsia="Times New Roman" w:hAnsi="Bookman Old Style" w:cs="Arial"/>
          <w:sz w:val="24"/>
          <w:szCs w:val="24"/>
        </w:rPr>
      </w:pPr>
      <w:r>
        <w:rPr>
          <w:rFonts w:ascii="Bookman Old Style" w:hAnsi="Bookman Old Style"/>
          <w:sz w:val="24"/>
        </w:rPr>
        <w:t>Solde reporté</w:t>
      </w:r>
      <w:r>
        <w:rPr>
          <w:rFonts w:ascii="Bookman Old Style" w:hAnsi="Bookman Old Style"/>
          <w:sz w:val="24"/>
        </w:rPr>
        <w:tab/>
      </w:r>
      <w:r>
        <w:rPr>
          <w:rFonts w:ascii="Bookman Old Style" w:hAnsi="Bookman Old Style"/>
          <w:sz w:val="24"/>
        </w:rPr>
        <w:tab/>
        <w:t>1 216 400</w:t>
      </w:r>
      <w:r>
        <w:rPr>
          <w:rFonts w:ascii="Bookman Old Style" w:hAnsi="Bookman Old Style"/>
          <w:sz w:val="24"/>
        </w:rPr>
        <w:tab/>
      </w:r>
      <w:r>
        <w:rPr>
          <w:rFonts w:ascii="Bookman Old Style" w:hAnsi="Bookman Old Style"/>
          <w:sz w:val="24"/>
        </w:rPr>
        <w:tab/>
        <w:t>1 287 117</w:t>
      </w:r>
    </w:p>
    <w:p w14:paraId="629E536E" w14:textId="77777777" w:rsidR="00FC0017" w:rsidRPr="00A64F7F" w:rsidRDefault="00FC0017" w:rsidP="00FC0017">
      <w:pPr>
        <w:spacing w:after="0" w:line="240" w:lineRule="auto"/>
        <w:ind w:firstLine="720"/>
        <w:jc w:val="both"/>
        <w:rPr>
          <w:rFonts w:ascii="Bookman Old Style" w:eastAsia="Times New Roman" w:hAnsi="Bookman Old Style" w:cs="Arial"/>
          <w:sz w:val="24"/>
          <w:szCs w:val="24"/>
        </w:rPr>
      </w:pPr>
      <w:r>
        <w:rPr>
          <w:rFonts w:ascii="Bookman Old Style" w:hAnsi="Bookman Old Style"/>
          <w:sz w:val="24"/>
        </w:rPr>
        <w:t>Subvention reçue</w:t>
      </w:r>
      <w:r>
        <w:rPr>
          <w:rFonts w:ascii="Bookman Old Style" w:hAnsi="Bookman Old Style"/>
          <w:sz w:val="24"/>
        </w:rPr>
        <w:tab/>
      </w:r>
      <w:r>
        <w:rPr>
          <w:rFonts w:ascii="Bookman Old Style" w:hAnsi="Bookman Old Style"/>
          <w:sz w:val="24"/>
        </w:rPr>
        <w:tab/>
        <w:t>1 090 427</w:t>
      </w:r>
      <w:r>
        <w:rPr>
          <w:rFonts w:ascii="Bookman Old Style" w:hAnsi="Bookman Old Style"/>
          <w:sz w:val="24"/>
        </w:rPr>
        <w:tab/>
      </w:r>
      <w:r>
        <w:rPr>
          <w:rFonts w:ascii="Bookman Old Style" w:hAnsi="Bookman Old Style"/>
          <w:sz w:val="24"/>
        </w:rPr>
        <w:tab/>
        <w:t xml:space="preserve">   </w:t>
      </w:r>
    </w:p>
    <w:p w14:paraId="6EF380FE" w14:textId="1AE0EB4B" w:rsidR="00FC0017" w:rsidRPr="00A64F7F" w:rsidRDefault="00FC0017" w:rsidP="00FC0017">
      <w:pPr>
        <w:spacing w:after="0" w:line="240" w:lineRule="auto"/>
        <w:ind w:firstLine="720"/>
        <w:jc w:val="both"/>
        <w:rPr>
          <w:rFonts w:ascii="Bookman Old Style" w:eastAsia="Times New Roman" w:hAnsi="Bookman Old Style" w:cs="Arial"/>
          <w:sz w:val="24"/>
          <w:szCs w:val="24"/>
        </w:rPr>
      </w:pPr>
      <w:r>
        <w:rPr>
          <w:rFonts w:ascii="Bookman Old Style" w:hAnsi="Bookman Old Style"/>
          <w:sz w:val="24"/>
        </w:rPr>
        <w:t xml:space="preserve">Fonds utilisé </w:t>
      </w:r>
      <w:r w:rsidR="00FA008D">
        <w:rPr>
          <w:rFonts w:ascii="Bookman Old Style" w:hAnsi="Bookman Old Style"/>
          <w:sz w:val="24"/>
        </w:rPr>
        <w:tab/>
      </w:r>
      <w:r w:rsidR="00FA008D">
        <w:rPr>
          <w:rFonts w:ascii="Bookman Old Style" w:hAnsi="Bookman Old Style"/>
          <w:sz w:val="24"/>
        </w:rPr>
        <w:tab/>
      </w:r>
      <w:r>
        <w:rPr>
          <w:rFonts w:ascii="Bookman Old Style" w:hAnsi="Bookman Old Style"/>
          <w:sz w:val="24"/>
        </w:rPr>
        <w:t xml:space="preserve">1 019 710 </w:t>
      </w:r>
      <w:r>
        <w:rPr>
          <w:rFonts w:ascii="Bookman Old Style" w:hAnsi="Bookman Old Style"/>
          <w:sz w:val="24"/>
        </w:rPr>
        <w:tab/>
      </w:r>
      <w:r>
        <w:rPr>
          <w:rFonts w:ascii="Bookman Old Style" w:hAnsi="Bookman Old Style"/>
          <w:sz w:val="24"/>
        </w:rPr>
        <w:tab/>
        <w:t>530 007</w:t>
      </w:r>
      <w:r>
        <w:rPr>
          <w:rFonts w:ascii="Bookman Old Style" w:hAnsi="Bookman Old Style"/>
          <w:sz w:val="24"/>
        </w:rPr>
        <w:tab/>
      </w:r>
    </w:p>
    <w:p w14:paraId="0EA88EE8" w14:textId="41AF654D" w:rsidR="00FC0017" w:rsidRPr="00A64F7F" w:rsidRDefault="00FC0017" w:rsidP="00FC0017">
      <w:pPr>
        <w:spacing w:after="120" w:line="276" w:lineRule="auto"/>
        <w:ind w:firstLine="720"/>
        <w:jc w:val="both"/>
        <w:rPr>
          <w:rFonts w:ascii="Bookman Old Style" w:eastAsia="Times New Roman" w:hAnsi="Bookman Old Style" w:cs="Arial"/>
          <w:sz w:val="24"/>
          <w:szCs w:val="24"/>
        </w:rPr>
      </w:pPr>
      <w:r>
        <w:rPr>
          <w:rFonts w:ascii="Bookman Old Style" w:hAnsi="Bookman Old Style"/>
          <w:sz w:val="24"/>
        </w:rPr>
        <w:t>Fonds net affecté</w:t>
      </w:r>
      <w:r>
        <w:rPr>
          <w:rFonts w:ascii="Bookman Old Style" w:hAnsi="Bookman Old Style"/>
          <w:sz w:val="24"/>
        </w:rPr>
        <w:tab/>
      </w:r>
      <w:r w:rsidR="00FA008D">
        <w:rPr>
          <w:rFonts w:ascii="Bookman Old Style" w:hAnsi="Bookman Old Style"/>
          <w:sz w:val="24"/>
        </w:rPr>
        <w:tab/>
      </w:r>
      <w:r>
        <w:rPr>
          <w:rFonts w:ascii="Bookman Old Style" w:hAnsi="Bookman Old Style"/>
          <w:sz w:val="24"/>
          <w:u w:val="single"/>
        </w:rPr>
        <w:t xml:space="preserve">1 287 117 </w:t>
      </w:r>
      <w:r>
        <w:rPr>
          <w:rFonts w:ascii="Bookman Old Style" w:hAnsi="Bookman Old Style"/>
          <w:sz w:val="24"/>
        </w:rPr>
        <w:tab/>
      </w:r>
      <w:r>
        <w:rPr>
          <w:rFonts w:ascii="Bookman Old Style" w:hAnsi="Bookman Old Style"/>
          <w:sz w:val="24"/>
        </w:rPr>
        <w:tab/>
      </w:r>
      <w:r>
        <w:rPr>
          <w:rFonts w:ascii="Bookman Old Style" w:hAnsi="Bookman Old Style"/>
          <w:b/>
          <w:sz w:val="24"/>
          <w:u w:val="single"/>
        </w:rPr>
        <w:t>757 110</w:t>
      </w:r>
      <w:r>
        <w:rPr>
          <w:rFonts w:ascii="Bookman Old Style" w:hAnsi="Bookman Old Style"/>
          <w:sz w:val="24"/>
        </w:rPr>
        <w:tab/>
      </w:r>
    </w:p>
    <w:p w14:paraId="5DC21CF8" w14:textId="77777777" w:rsidR="00667C41" w:rsidRDefault="00667C41" w:rsidP="00667C41">
      <w:pPr>
        <w:spacing w:after="0" w:line="240" w:lineRule="auto"/>
        <w:ind w:hanging="720"/>
        <w:jc w:val="both"/>
        <w:rPr>
          <w:rFonts w:ascii="Bookman Old Style" w:hAnsi="Bookman Old Style"/>
          <w:sz w:val="24"/>
        </w:rPr>
        <w:sectPr w:rsidR="00667C41">
          <w:footerReference w:type="default" r:id="rId14"/>
          <w:pgSz w:w="11906" w:h="16838"/>
          <w:pgMar w:top="1440" w:right="1440" w:bottom="1440" w:left="1440" w:header="708" w:footer="708" w:gutter="0"/>
          <w:cols w:space="708"/>
          <w:docGrid w:linePitch="360"/>
        </w:sectPr>
      </w:pPr>
    </w:p>
    <w:p w14:paraId="6C1D1EB3" w14:textId="4ADD914B" w:rsidR="00FC0017" w:rsidRPr="00A64F7F" w:rsidRDefault="001E1940" w:rsidP="00667C41">
      <w:pPr>
        <w:spacing w:after="0" w:line="240" w:lineRule="auto"/>
        <w:ind w:left="709" w:hanging="709"/>
        <w:jc w:val="both"/>
        <w:rPr>
          <w:rFonts w:ascii="Bookman Old Style" w:eastAsia="Times New Roman" w:hAnsi="Bookman Old Style" w:cs="Arial"/>
          <w:sz w:val="24"/>
          <w:szCs w:val="24"/>
        </w:rPr>
      </w:pPr>
      <w:r>
        <w:rPr>
          <w:rFonts w:ascii="Bookman Old Style" w:hAnsi="Bookman Old Style"/>
          <w:sz w:val="24"/>
        </w:rPr>
        <w:lastRenderedPageBreak/>
        <w:t>3.1.3.</w:t>
      </w:r>
      <w:r>
        <w:rPr>
          <w:rFonts w:ascii="Bookman Old Style" w:hAnsi="Bookman Old Style"/>
          <w:sz w:val="24"/>
        </w:rPr>
        <w:tab/>
        <w:t>Les taux d'utilisation (burn rate) sont de 29,40 % (c'est-à-dire US$ 530 007 en pourcentage du budget US$ 1 802 468) pour l'année 4 et de 93,35 % (c'est-à-dire US$ 1 019 710 en pourcentage de US$ 1 090 427) pour l'année 3. Nous prévoyons que le taux d'utilisation augmentera au cours des mois d'octobre à décembre 2022, avec la reprise des réunions en mode présentiel</w:t>
      </w:r>
    </w:p>
    <w:p w14:paraId="21C00DC6" w14:textId="77777777" w:rsidR="00FC0017" w:rsidRPr="00A64F7F" w:rsidRDefault="00FC0017" w:rsidP="00667C41">
      <w:pPr>
        <w:spacing w:after="0" w:line="240" w:lineRule="auto"/>
        <w:jc w:val="both"/>
        <w:rPr>
          <w:rFonts w:ascii="Bookman Old Style" w:eastAsia="Times New Roman" w:hAnsi="Bookman Old Style" w:cs="Arial"/>
          <w:b/>
          <w:bCs/>
          <w:sz w:val="24"/>
          <w:szCs w:val="24"/>
          <w:lang w:bidi="en-US"/>
        </w:rPr>
      </w:pPr>
    </w:p>
    <w:p w14:paraId="5FDD334E" w14:textId="112472D5" w:rsidR="00FC0017" w:rsidRDefault="001E1940" w:rsidP="00667C41">
      <w:pPr>
        <w:spacing w:after="0" w:line="240" w:lineRule="auto"/>
        <w:ind w:left="851" w:hanging="851"/>
        <w:jc w:val="both"/>
        <w:rPr>
          <w:rFonts w:ascii="Bookman Old Style" w:hAnsi="Bookman Old Style"/>
          <w:b/>
          <w:sz w:val="24"/>
        </w:rPr>
      </w:pPr>
      <w:r>
        <w:rPr>
          <w:rFonts w:ascii="Bookman Old Style" w:hAnsi="Bookman Old Style"/>
          <w:b/>
          <w:sz w:val="24"/>
        </w:rPr>
        <w:t>3.1.4.</w:t>
      </w:r>
      <w:r>
        <w:rPr>
          <w:rFonts w:ascii="Bookman Old Style" w:hAnsi="Bookman Old Style"/>
          <w:b/>
          <w:sz w:val="24"/>
        </w:rPr>
        <w:tab/>
        <w:t>Écart budgétaire au 30 septembre 2022</w:t>
      </w:r>
    </w:p>
    <w:p w14:paraId="3F297C57" w14:textId="77777777" w:rsidR="00EC5C0F" w:rsidRPr="00A64F7F" w:rsidRDefault="00EC5C0F" w:rsidP="00667C41">
      <w:pPr>
        <w:spacing w:after="0" w:line="240" w:lineRule="auto"/>
        <w:ind w:left="851" w:hanging="851"/>
        <w:jc w:val="both"/>
        <w:rPr>
          <w:rFonts w:ascii="Bookman Old Style" w:eastAsia="Times New Roman" w:hAnsi="Bookman Old Style" w:cs="Arial"/>
          <w:b/>
          <w:bCs/>
          <w:sz w:val="24"/>
          <w:szCs w:val="24"/>
        </w:rPr>
      </w:pPr>
    </w:p>
    <w:p w14:paraId="44061106" w14:textId="69F39ED4" w:rsidR="00FC0017" w:rsidRDefault="001E1940" w:rsidP="00667C41">
      <w:pPr>
        <w:spacing w:after="0" w:line="240" w:lineRule="auto"/>
        <w:ind w:left="993" w:hanging="993"/>
        <w:jc w:val="both"/>
        <w:rPr>
          <w:rFonts w:ascii="Bookman Old Style" w:hAnsi="Bookman Old Style"/>
          <w:sz w:val="24"/>
        </w:rPr>
      </w:pPr>
      <w:r>
        <w:rPr>
          <w:rFonts w:ascii="Bookman Old Style" w:hAnsi="Bookman Old Style"/>
          <w:sz w:val="24"/>
        </w:rPr>
        <w:t>3.1.4.1.</w:t>
      </w:r>
      <w:r>
        <w:rPr>
          <w:rFonts w:ascii="Bookman Old Style" w:hAnsi="Bookman Old Style"/>
          <w:sz w:val="24"/>
        </w:rPr>
        <w:tab/>
        <w:t>Le rapport sur les écarts budgétaires (déclaration de comptabilité des fonds) montre les dépenses réelles par rapport au budget, par poste budgétaire. Les écarts entre les dépenses réelles et le budget pour le projet SDSR sont suivis sur une base mensuelle.</w:t>
      </w:r>
    </w:p>
    <w:p w14:paraId="54717A73" w14:textId="77777777" w:rsidR="008C662F" w:rsidRPr="00A64F7F" w:rsidRDefault="008C662F" w:rsidP="00667C41">
      <w:pPr>
        <w:spacing w:after="0" w:line="240" w:lineRule="auto"/>
        <w:ind w:hanging="993"/>
        <w:jc w:val="both"/>
        <w:rPr>
          <w:rFonts w:ascii="Bookman Old Style" w:eastAsia="Times New Roman" w:hAnsi="Bookman Old Style" w:cs="Arial"/>
          <w:sz w:val="24"/>
          <w:szCs w:val="24"/>
        </w:rPr>
      </w:pPr>
    </w:p>
    <w:p w14:paraId="37C7FD47" w14:textId="3B855C8A" w:rsidR="00FC0017" w:rsidRDefault="001E1940" w:rsidP="00667C41">
      <w:pPr>
        <w:spacing w:after="0" w:line="240" w:lineRule="auto"/>
        <w:ind w:left="993" w:hanging="993"/>
        <w:jc w:val="both"/>
        <w:rPr>
          <w:rFonts w:ascii="Bookman Old Style" w:hAnsi="Bookman Old Style"/>
          <w:sz w:val="24"/>
        </w:rPr>
      </w:pPr>
      <w:r>
        <w:rPr>
          <w:rFonts w:ascii="Bookman Old Style" w:hAnsi="Bookman Old Style"/>
          <w:sz w:val="24"/>
        </w:rPr>
        <w:t>3.1.4.2.</w:t>
      </w:r>
      <w:r>
        <w:rPr>
          <w:rFonts w:ascii="Bookman Old Style" w:hAnsi="Bookman Old Style"/>
          <w:sz w:val="24"/>
        </w:rPr>
        <w:tab/>
        <w:t xml:space="preserve">À la date du 30 septembre 2022, il n'y a qu'une seule ligne budgétaire où il y a eu un écart négatif important (plus de 10 %), à savoir la loi type sur les finances publiques. Alors que le budget prévoyait US$ 36 525, les dépenses se sont élevées à US$ 45 525, d'où un écart négatif de US$ 9 000 (25%). Cela s'est produit en raison de certains services de conseil supplémentaires rendus par le rédacteur juridique. Une réallocation du budget sera demandée auprès de Sida en novembre 2022. </w:t>
      </w:r>
    </w:p>
    <w:p w14:paraId="19C16B07"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4F6D6A7F"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6A93C849"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7D1A31B1"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746555E2"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0EA8E1FB"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076CB6C1"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09838549"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44668A2B"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2A84F21D"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115D0862"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4E154B06"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75193AB1"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2DD5150B"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099E9705"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392F0EE0"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3A64E873"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5B145AB1"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02AD627E"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5E4F05C0"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48EAD0BD"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5F6B049D"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484E93A6"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05E36265"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320CBC59"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759A3B73" w14:textId="77777777" w:rsidR="00EC5C0F" w:rsidRDefault="00EC5C0F" w:rsidP="00667C41">
      <w:pPr>
        <w:spacing w:after="0" w:line="240" w:lineRule="auto"/>
        <w:ind w:left="993" w:hanging="993"/>
        <w:jc w:val="both"/>
        <w:rPr>
          <w:rFonts w:ascii="Bookman Old Style" w:eastAsia="Times New Roman" w:hAnsi="Bookman Old Style" w:cs="Arial"/>
          <w:sz w:val="24"/>
          <w:szCs w:val="24"/>
        </w:rPr>
      </w:pPr>
    </w:p>
    <w:p w14:paraId="28DF64CB" w14:textId="77777777" w:rsidR="00EC5C0F" w:rsidRPr="005F377D" w:rsidRDefault="00EC5C0F" w:rsidP="00667C41">
      <w:pPr>
        <w:spacing w:after="0" w:line="240" w:lineRule="auto"/>
        <w:ind w:left="993" w:hanging="993"/>
        <w:jc w:val="both"/>
        <w:rPr>
          <w:rFonts w:ascii="Bookman Old Style" w:eastAsia="Times New Roman" w:hAnsi="Bookman Old Style" w:cs="Arial"/>
          <w:sz w:val="24"/>
          <w:szCs w:val="24"/>
        </w:rPr>
      </w:pPr>
    </w:p>
    <w:p w14:paraId="416576A4" w14:textId="6453DCA8" w:rsidR="005F377D" w:rsidRPr="005F377D" w:rsidRDefault="005F377D" w:rsidP="00667C41">
      <w:pPr>
        <w:spacing w:after="0" w:line="240" w:lineRule="auto"/>
        <w:ind w:left="993" w:hanging="993"/>
        <w:jc w:val="both"/>
        <w:rPr>
          <w:rFonts w:ascii="Bookman Old Style" w:eastAsia="Times New Roman" w:hAnsi="Bookman Old Style" w:cs="Times New Roman"/>
          <w:b/>
          <w:bCs/>
          <w:noProof/>
          <w:sz w:val="24"/>
          <w:szCs w:val="24"/>
        </w:rPr>
      </w:pPr>
      <w:r>
        <w:rPr>
          <w:rFonts w:ascii="Bookman Old Style" w:hAnsi="Bookman Old Style"/>
          <w:b/>
          <w:sz w:val="24"/>
        </w:rPr>
        <w:lastRenderedPageBreak/>
        <w:t>3.1.4.3</w:t>
      </w:r>
      <w:r>
        <w:rPr>
          <w:rFonts w:ascii="Bookman Old Style" w:hAnsi="Bookman Old Style"/>
          <w:b/>
          <w:sz w:val="24"/>
        </w:rPr>
        <w:tab/>
        <w:t>Déclaration de comptabilité des fonds au 30 septembre 2022</w:t>
      </w:r>
    </w:p>
    <w:p w14:paraId="5481155D" w14:textId="77777777" w:rsidR="00EC5C0F" w:rsidRDefault="00EC5C0F" w:rsidP="00667C41">
      <w:pPr>
        <w:spacing w:after="0" w:line="240" w:lineRule="auto"/>
        <w:ind w:left="993"/>
        <w:jc w:val="both"/>
        <w:rPr>
          <w:rFonts w:ascii="Calibri" w:hAnsi="Calibri"/>
        </w:rPr>
      </w:pPr>
    </w:p>
    <w:p w14:paraId="031D2AB8" w14:textId="13984AFA" w:rsidR="00FC0017" w:rsidRPr="00FA02E6" w:rsidRDefault="00FA02E6" w:rsidP="00667C41">
      <w:pPr>
        <w:spacing w:after="0" w:line="240" w:lineRule="auto"/>
        <w:ind w:left="993"/>
        <w:jc w:val="both"/>
        <w:rPr>
          <w:rFonts w:ascii="Calibri" w:eastAsia="Times New Roman" w:hAnsi="Calibri" w:cs="Times New Roman"/>
          <w:noProof/>
        </w:rPr>
      </w:pPr>
      <w:r>
        <w:rPr>
          <w:rFonts w:ascii="Calibri" w:hAnsi="Calibri"/>
        </w:rPr>
        <w:t>Voir ci-dessous</w:t>
      </w:r>
    </w:p>
    <w:p w14:paraId="10FC8A59" w14:textId="15947544" w:rsidR="00FC0017" w:rsidRPr="00A64F7F" w:rsidRDefault="00FC0017" w:rsidP="00667C41">
      <w:pPr>
        <w:spacing w:after="0" w:line="240" w:lineRule="auto"/>
        <w:ind w:hanging="1440"/>
        <w:jc w:val="both"/>
        <w:rPr>
          <w:rFonts w:ascii="Bookman Old Style" w:eastAsia="Times New Roman" w:hAnsi="Bookman Old Style" w:cs="Arial"/>
          <w:sz w:val="24"/>
          <w:szCs w:val="24"/>
        </w:rPr>
      </w:pPr>
    </w:p>
    <w:p w14:paraId="43541FF9" w14:textId="2F200D13" w:rsidR="00FC0017" w:rsidRDefault="00FF3171" w:rsidP="00667C41">
      <w:pPr>
        <w:spacing w:after="0" w:line="240" w:lineRule="auto"/>
        <w:ind w:left="720" w:hanging="720"/>
        <w:jc w:val="both"/>
        <w:rPr>
          <w:rFonts w:ascii="Bookman Old Style" w:eastAsia="Times New Roman" w:hAnsi="Bookman Old Style" w:cs="Arial"/>
          <w:sz w:val="24"/>
          <w:szCs w:val="24"/>
          <w:lang w:bidi="en-US"/>
        </w:rPr>
      </w:pPr>
      <w:r w:rsidRPr="00FF3171">
        <w:rPr>
          <w:noProof/>
        </w:rPr>
        <w:drawing>
          <wp:inline distT="0" distB="0" distL="0" distR="0" wp14:anchorId="325795DF" wp14:editId="590DF233">
            <wp:extent cx="5731510" cy="5854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854700"/>
                    </a:xfrm>
                    <a:prstGeom prst="rect">
                      <a:avLst/>
                    </a:prstGeom>
                    <a:noFill/>
                    <a:ln>
                      <a:noFill/>
                    </a:ln>
                  </pic:spPr>
                </pic:pic>
              </a:graphicData>
            </a:graphic>
          </wp:inline>
        </w:drawing>
      </w:r>
    </w:p>
    <w:p w14:paraId="1BEB82B5" w14:textId="77777777" w:rsidR="00FC0017" w:rsidRDefault="00FC0017" w:rsidP="00667C41">
      <w:pPr>
        <w:spacing w:after="0" w:line="240" w:lineRule="auto"/>
        <w:jc w:val="both"/>
        <w:rPr>
          <w:rFonts w:ascii="Bookman Old Style" w:eastAsia="Times New Roman" w:hAnsi="Bookman Old Style" w:cs="Arial"/>
          <w:sz w:val="24"/>
          <w:szCs w:val="24"/>
          <w:lang w:bidi="en-US"/>
        </w:rPr>
      </w:pPr>
    </w:p>
    <w:p w14:paraId="3D375D51" w14:textId="77777777" w:rsidR="00EC5C0F" w:rsidRDefault="00EC5C0F" w:rsidP="00667C41">
      <w:pPr>
        <w:spacing w:after="0" w:line="240" w:lineRule="auto"/>
        <w:jc w:val="both"/>
        <w:rPr>
          <w:rFonts w:ascii="Bookman Old Style" w:eastAsia="Times New Roman" w:hAnsi="Bookman Old Style" w:cs="Arial"/>
          <w:sz w:val="24"/>
          <w:szCs w:val="24"/>
          <w:lang w:bidi="en-US"/>
        </w:rPr>
      </w:pPr>
    </w:p>
    <w:p w14:paraId="7B2D7822" w14:textId="77777777" w:rsidR="00EC5C0F" w:rsidRPr="00A64F7F" w:rsidRDefault="00EC5C0F" w:rsidP="00667C41">
      <w:pPr>
        <w:spacing w:after="0" w:line="240" w:lineRule="auto"/>
        <w:jc w:val="both"/>
        <w:rPr>
          <w:rFonts w:ascii="Bookman Old Style" w:eastAsia="Times New Roman" w:hAnsi="Bookman Old Style" w:cs="Arial"/>
          <w:sz w:val="24"/>
          <w:szCs w:val="24"/>
          <w:lang w:bidi="en-US"/>
        </w:rPr>
      </w:pPr>
    </w:p>
    <w:p w14:paraId="35022356" w14:textId="298A7DFE" w:rsidR="00FC0017" w:rsidRPr="00412156" w:rsidRDefault="005F377D" w:rsidP="00EC5C0F">
      <w:pPr>
        <w:spacing w:after="0" w:line="240" w:lineRule="auto"/>
        <w:ind w:left="851" w:hanging="851"/>
        <w:jc w:val="both"/>
        <w:rPr>
          <w:rFonts w:ascii="Bookman Old Style" w:eastAsia="Times New Roman" w:hAnsi="Bookman Old Style" w:cs="Arial"/>
          <w:b/>
          <w:bCs/>
          <w:sz w:val="24"/>
          <w:szCs w:val="24"/>
        </w:rPr>
      </w:pPr>
      <w:r>
        <w:rPr>
          <w:rFonts w:ascii="Bookman Old Style" w:hAnsi="Bookman Old Style"/>
          <w:b/>
          <w:sz w:val="24"/>
        </w:rPr>
        <w:t>3.1.5.</w:t>
      </w:r>
      <w:r>
        <w:rPr>
          <w:rFonts w:ascii="Bookman Old Style" w:hAnsi="Bookman Old Style"/>
          <w:b/>
          <w:sz w:val="24"/>
        </w:rPr>
        <w:tab/>
        <w:t>Situation financière au 30 septembre 2022</w:t>
      </w:r>
    </w:p>
    <w:p w14:paraId="2E125BF5" w14:textId="77777777" w:rsidR="00FC0017" w:rsidRPr="00A64F7F" w:rsidRDefault="00FC0017" w:rsidP="00667C41">
      <w:pPr>
        <w:spacing w:after="0" w:line="240" w:lineRule="auto"/>
        <w:jc w:val="both"/>
        <w:rPr>
          <w:rFonts w:ascii="Bookman Old Style" w:eastAsia="Times New Roman" w:hAnsi="Bookman Old Style" w:cs="Arial"/>
          <w:sz w:val="24"/>
          <w:szCs w:val="24"/>
          <w:lang w:bidi="en-US"/>
        </w:rPr>
      </w:pPr>
    </w:p>
    <w:p w14:paraId="115E84F2" w14:textId="0A690CD5" w:rsidR="00FC0017" w:rsidRPr="00A64F7F" w:rsidRDefault="00FC0017" w:rsidP="00EC5C0F">
      <w:pPr>
        <w:spacing w:after="0" w:line="240" w:lineRule="auto"/>
        <w:ind w:left="851"/>
        <w:jc w:val="both"/>
        <w:rPr>
          <w:rFonts w:ascii="Bookman Old Style" w:eastAsia="Times New Roman" w:hAnsi="Bookman Old Style" w:cs="Arial"/>
          <w:sz w:val="24"/>
          <w:szCs w:val="24"/>
        </w:rPr>
      </w:pPr>
      <w:r>
        <w:rPr>
          <w:rFonts w:ascii="Bookman Old Style" w:hAnsi="Bookman Old Style"/>
          <w:sz w:val="24"/>
        </w:rPr>
        <w:t>En termes de position financière, au 30 septembre 2022, le solde des comptes bancaires en USD du projet SDSR était de US$ 756 022 et de N$ 57 509 sur le compte bancaire en monnaie locale. Les deux comptes bancaires sont détenus à la FNB Namibia.</w:t>
      </w:r>
    </w:p>
    <w:p w14:paraId="58EAA22D" w14:textId="77777777" w:rsidR="00FC0017" w:rsidRPr="002B2A83" w:rsidRDefault="00FC0017" w:rsidP="00667C41">
      <w:pPr>
        <w:spacing w:line="240" w:lineRule="auto"/>
      </w:pPr>
    </w:p>
    <w:p w14:paraId="251392BB" w14:textId="77777777" w:rsidR="00A64F7F" w:rsidRPr="00F55B99" w:rsidRDefault="00A64F7F" w:rsidP="00667C41">
      <w:pPr>
        <w:spacing w:after="0" w:line="240" w:lineRule="auto"/>
        <w:jc w:val="both"/>
        <w:rPr>
          <w:rFonts w:ascii="Bookman Old Style" w:eastAsia="Times New Roman" w:hAnsi="Bookman Old Style" w:cs="Arial"/>
          <w:sz w:val="24"/>
          <w:szCs w:val="24"/>
          <w:highlight w:val="yellow"/>
          <w:lang w:bidi="en-US"/>
        </w:rPr>
      </w:pPr>
    </w:p>
    <w:p w14:paraId="7801045E" w14:textId="71A8715E" w:rsidR="008C3C26" w:rsidRPr="002B2A83" w:rsidRDefault="008C3C26" w:rsidP="00667C41">
      <w:pPr>
        <w:pStyle w:val="ListParagraph"/>
        <w:numPr>
          <w:ilvl w:val="1"/>
          <w:numId w:val="37"/>
        </w:numPr>
        <w:jc w:val="both"/>
        <w:rPr>
          <w:rFonts w:ascii="Bookman Old Style" w:eastAsia="Calibri" w:hAnsi="Bookman Old Style" w:cs="Arial"/>
          <w:b/>
          <w:sz w:val="24"/>
          <w:szCs w:val="24"/>
        </w:rPr>
      </w:pPr>
      <w:bookmarkStart w:id="21" w:name="_Hlk85390875"/>
      <w:r>
        <w:rPr>
          <w:rFonts w:ascii="Bookman Old Style" w:hAnsi="Bookman Old Style"/>
          <w:b/>
          <w:sz w:val="24"/>
        </w:rPr>
        <w:lastRenderedPageBreak/>
        <w:t>SUBVENTION PROVENAT DE ADA POUR LE RENFORCEMENT DES CAPACITÉS PARLEMENTAIRES DE LA SADC (ADMINISTRÉE PAR LA GIZ)</w:t>
      </w:r>
    </w:p>
    <w:bookmarkEnd w:id="21"/>
    <w:p w14:paraId="5A119118" w14:textId="77777777" w:rsidR="008C3C26" w:rsidRPr="00F55B99" w:rsidRDefault="008C3C26" w:rsidP="00667C41">
      <w:pPr>
        <w:spacing w:after="0" w:line="240" w:lineRule="auto"/>
        <w:jc w:val="both"/>
        <w:rPr>
          <w:rFonts w:ascii="Bookman Old Style" w:eastAsia="Calibri" w:hAnsi="Bookman Old Style" w:cs="Arial"/>
          <w:bCs/>
          <w:sz w:val="24"/>
          <w:szCs w:val="24"/>
          <w:lang w:bidi="en-US"/>
        </w:rPr>
      </w:pPr>
    </w:p>
    <w:p w14:paraId="6EF824CD" w14:textId="7C85429E" w:rsidR="008C3C26" w:rsidRPr="00485ACA" w:rsidRDefault="008C3C26" w:rsidP="00667C41">
      <w:pPr>
        <w:pStyle w:val="ListParagraph"/>
        <w:numPr>
          <w:ilvl w:val="2"/>
          <w:numId w:val="37"/>
        </w:numPr>
        <w:jc w:val="both"/>
        <w:rPr>
          <w:rFonts w:ascii="Bookman Old Style" w:eastAsia="Calibri" w:hAnsi="Bookman Old Style" w:cs="Arial"/>
          <w:bCs/>
          <w:sz w:val="24"/>
          <w:szCs w:val="24"/>
        </w:rPr>
      </w:pPr>
      <w:bookmarkStart w:id="22" w:name="_Hlk85179291"/>
      <w:r>
        <w:rPr>
          <w:rFonts w:ascii="Bookman Old Style" w:hAnsi="Bookman Old Style"/>
          <w:sz w:val="24"/>
        </w:rPr>
        <w:t>La subvention est financée par l'Agence autrichienne de développement (ADA) et est administrée en son nom par la GIZ. Le projet se déroule du 1</w:t>
      </w:r>
      <w:r>
        <w:rPr>
          <w:rFonts w:ascii="Bookman Old Style" w:hAnsi="Bookman Old Style"/>
          <w:sz w:val="24"/>
          <w:vertAlign w:val="superscript"/>
        </w:rPr>
        <w:t>er</w:t>
      </w:r>
      <w:r>
        <w:rPr>
          <w:rFonts w:ascii="Bookman Old Style" w:hAnsi="Bookman Old Style"/>
          <w:sz w:val="24"/>
        </w:rPr>
        <w:t xml:space="preserve"> mars 2020 au 31 décembre 2022. Le montant de la subvention est de 309 905,09 euros</w:t>
      </w:r>
    </w:p>
    <w:p w14:paraId="40A8B992" w14:textId="77777777" w:rsidR="008C3C26" w:rsidRPr="00F55B99" w:rsidRDefault="008C3C26" w:rsidP="008C3C26">
      <w:pPr>
        <w:spacing w:after="0" w:line="240" w:lineRule="auto"/>
        <w:ind w:left="720"/>
        <w:contextualSpacing/>
        <w:jc w:val="both"/>
        <w:rPr>
          <w:rFonts w:ascii="Bookman Old Style" w:eastAsia="Calibri" w:hAnsi="Bookman Old Style" w:cs="Arial"/>
          <w:bCs/>
          <w:sz w:val="24"/>
          <w:szCs w:val="24"/>
          <w:lang w:bidi="en-US"/>
        </w:rPr>
      </w:pPr>
    </w:p>
    <w:p w14:paraId="23E3DB80" w14:textId="706E6FF5" w:rsidR="008C3C26" w:rsidRPr="00485ACA" w:rsidRDefault="008C3C26" w:rsidP="00485ACA">
      <w:pPr>
        <w:pStyle w:val="ListParagraph"/>
        <w:numPr>
          <w:ilvl w:val="2"/>
          <w:numId w:val="37"/>
        </w:numPr>
        <w:jc w:val="both"/>
        <w:rPr>
          <w:rFonts w:ascii="Bookman Old Style" w:eastAsia="Calibri" w:hAnsi="Bookman Old Style" w:cs="Arial"/>
          <w:bCs/>
          <w:sz w:val="24"/>
          <w:szCs w:val="24"/>
        </w:rPr>
      </w:pPr>
      <w:r>
        <w:rPr>
          <w:rFonts w:ascii="Bookman Old Style" w:hAnsi="Bookman Old Style"/>
          <w:sz w:val="24"/>
        </w:rPr>
        <w:t>Le bailleur de fonds n'exige pas d'états financiers vérifiés pour sa subvention mais exige des rapports financiers périodiques qui sont soumis sur une base trimestrielle. Cependant, le bailleur de fonds a engagé un auditeur externe au mois de mai 2022 pour effectuer un audit des finances pour la période allant du 1</w:t>
      </w:r>
      <w:r>
        <w:rPr>
          <w:rFonts w:ascii="Bookman Old Style" w:hAnsi="Bookman Old Style"/>
          <w:sz w:val="24"/>
          <w:vertAlign w:val="superscript"/>
        </w:rPr>
        <w:t>er</w:t>
      </w:r>
      <w:r>
        <w:rPr>
          <w:rFonts w:ascii="Bookman Old Style" w:hAnsi="Bookman Old Style"/>
          <w:sz w:val="24"/>
        </w:rPr>
        <w:t xml:space="preserve"> mars 2020 au 31 mars 2022. L'auditeur n'a pas présenté de conclusions.</w:t>
      </w:r>
    </w:p>
    <w:bookmarkEnd w:id="22"/>
    <w:p w14:paraId="77687F95" w14:textId="77777777" w:rsidR="008C3C26" w:rsidRPr="00A64F7F" w:rsidRDefault="008C3C26" w:rsidP="008C3C26">
      <w:pPr>
        <w:spacing w:after="0" w:line="240" w:lineRule="auto"/>
        <w:ind w:left="960"/>
        <w:contextualSpacing/>
        <w:jc w:val="both"/>
        <w:rPr>
          <w:rFonts w:ascii="Bookman Old Style" w:eastAsia="Calibri" w:hAnsi="Bookman Old Style" w:cs="Arial"/>
          <w:bCs/>
          <w:sz w:val="24"/>
          <w:szCs w:val="24"/>
          <w:lang w:val="en-GB" w:bidi="en-US"/>
        </w:rPr>
      </w:pPr>
    </w:p>
    <w:p w14:paraId="7EF37F45" w14:textId="6365B3C9" w:rsidR="008C3C26" w:rsidRPr="00485ACA" w:rsidRDefault="008C3C26" w:rsidP="00485ACA">
      <w:pPr>
        <w:pStyle w:val="ListParagraph"/>
        <w:numPr>
          <w:ilvl w:val="2"/>
          <w:numId w:val="37"/>
        </w:numPr>
        <w:jc w:val="both"/>
        <w:rPr>
          <w:rFonts w:ascii="Bookman Old Style" w:eastAsia="Calibri" w:hAnsi="Bookman Old Style" w:cs="Arial"/>
          <w:bCs/>
          <w:sz w:val="24"/>
          <w:szCs w:val="24"/>
        </w:rPr>
      </w:pPr>
      <w:bookmarkStart w:id="23" w:name="_Hlk85180233"/>
      <w:r>
        <w:rPr>
          <w:rFonts w:ascii="Bookman Old Style" w:hAnsi="Bookman Old Style"/>
          <w:sz w:val="24"/>
        </w:rPr>
        <w:t>État de la situation financière au 30 septembre 2022</w:t>
      </w:r>
    </w:p>
    <w:p w14:paraId="5E667BEA" w14:textId="77777777" w:rsidR="008C3C26" w:rsidRPr="00F55B99" w:rsidRDefault="008C3C26" w:rsidP="008C3C26">
      <w:pPr>
        <w:spacing w:after="0" w:line="240" w:lineRule="auto"/>
        <w:ind w:left="720" w:firstLine="360"/>
        <w:contextualSpacing/>
        <w:rPr>
          <w:rFonts w:ascii="Bookman Old Style" w:eastAsia="Calibri" w:hAnsi="Bookman Old Style" w:cs="Arial"/>
          <w:bCs/>
          <w:sz w:val="24"/>
          <w:szCs w:val="24"/>
          <w:lang w:bidi="en-US"/>
        </w:rPr>
      </w:pPr>
    </w:p>
    <w:p w14:paraId="7767D54C" w14:textId="5DAD276B" w:rsidR="008C3C26" w:rsidRPr="00EC5C0F" w:rsidRDefault="008C3C26" w:rsidP="00EC5C0F">
      <w:pPr>
        <w:spacing w:after="0" w:line="240" w:lineRule="auto"/>
        <w:ind w:left="709"/>
        <w:jc w:val="both"/>
        <w:rPr>
          <w:rFonts w:ascii="Bookman Old Style" w:eastAsia="Calibri" w:hAnsi="Bookman Old Style" w:cs="Arial"/>
          <w:bCs/>
          <w:sz w:val="24"/>
          <w:szCs w:val="24"/>
        </w:rPr>
      </w:pPr>
      <w:r>
        <w:rPr>
          <w:rFonts w:ascii="Bookman Old Style" w:hAnsi="Bookman Old Style"/>
          <w:sz w:val="24"/>
        </w:rPr>
        <w:t xml:space="preserve">Le montant total des fonds reçus de l'ADA de 2020 à ce jour est de 213 451 euros (N$ 4 069 891,57). Les dépenses encourues au 30 septembre 2022 s'élevaient à 111 936 euros (N$ 2 611 947,89), soit un excédent net de 101 515 euros (N$ 1 457 943,68). Les détails des dépenses figurent dans l'état financier ci-dessous : </w:t>
      </w:r>
      <w:bookmarkEnd w:id="23"/>
    </w:p>
    <w:p w14:paraId="656EB659" w14:textId="77777777" w:rsidR="008C3C26" w:rsidRPr="00F55B99" w:rsidRDefault="008C3C26" w:rsidP="008C3C26">
      <w:pPr>
        <w:spacing w:after="0" w:line="240" w:lineRule="auto"/>
        <w:ind w:firstLine="360"/>
        <w:rPr>
          <w:rFonts w:ascii="Trebuchet MS" w:eastAsia="Times New Roman" w:hAnsi="Trebuchet MS" w:cs="Arial"/>
          <w:color w:val="000000"/>
          <w:sz w:val="20"/>
          <w:szCs w:val="24"/>
          <w:lang w:bidi="en-US"/>
        </w:rPr>
      </w:pPr>
    </w:p>
    <w:tbl>
      <w:tblPr>
        <w:tblW w:w="9253" w:type="dxa"/>
        <w:tblInd w:w="93" w:type="dxa"/>
        <w:tblLayout w:type="fixed"/>
        <w:tblLook w:val="0000" w:firstRow="0" w:lastRow="0" w:firstColumn="0" w:lastColumn="0" w:noHBand="0" w:noVBand="0"/>
      </w:tblPr>
      <w:tblGrid>
        <w:gridCol w:w="4167"/>
        <w:gridCol w:w="1649"/>
        <w:gridCol w:w="1649"/>
        <w:gridCol w:w="1788"/>
      </w:tblGrid>
      <w:tr w:rsidR="008C3C26" w:rsidRPr="00A64F7F" w14:paraId="053A8F09" w14:textId="77777777" w:rsidTr="00FF0FF7">
        <w:trPr>
          <w:trHeight w:val="161"/>
        </w:trPr>
        <w:tc>
          <w:tcPr>
            <w:tcW w:w="9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566A58" w14:textId="77777777" w:rsidR="008C3C26" w:rsidRPr="008921AA" w:rsidRDefault="008C3C26" w:rsidP="00CC759F">
            <w:pPr>
              <w:spacing w:before="120" w:after="120" w:line="240" w:lineRule="auto"/>
              <w:ind w:firstLine="360"/>
              <w:jc w:val="center"/>
              <w:rPr>
                <w:rFonts w:ascii="Bookman Old Style" w:eastAsia="Times New Roman" w:hAnsi="Bookman Old Style" w:cs="Times New Roman"/>
              </w:rPr>
            </w:pPr>
            <w:r>
              <w:br w:type="page"/>
            </w:r>
            <w:r>
              <w:rPr>
                <w:rFonts w:ascii="Bookman Old Style" w:hAnsi="Bookman Old Style"/>
                <w:b/>
              </w:rPr>
              <w:t>Montants en euros</w:t>
            </w:r>
          </w:p>
        </w:tc>
      </w:tr>
      <w:tr w:rsidR="008C3C26" w:rsidRPr="00A64F7F" w14:paraId="7145E9D3" w14:textId="77777777" w:rsidTr="00FF0FF7">
        <w:trPr>
          <w:trHeight w:val="161"/>
        </w:trPr>
        <w:tc>
          <w:tcPr>
            <w:tcW w:w="4167" w:type="dxa"/>
            <w:tcBorders>
              <w:top w:val="single" w:sz="4" w:space="0" w:color="auto"/>
              <w:left w:val="single" w:sz="4" w:space="0" w:color="auto"/>
              <w:bottom w:val="single" w:sz="4" w:space="0" w:color="auto"/>
              <w:right w:val="single" w:sz="4" w:space="0" w:color="000000"/>
            </w:tcBorders>
            <w:shd w:val="clear" w:color="auto" w:fill="auto"/>
            <w:vAlign w:val="center"/>
          </w:tcPr>
          <w:p w14:paraId="328DF050" w14:textId="77777777" w:rsidR="008C3C26" w:rsidRPr="008921AA" w:rsidRDefault="008C3C26" w:rsidP="00485ACA">
            <w:pPr>
              <w:spacing w:before="120" w:after="120" w:line="240" w:lineRule="auto"/>
              <w:rPr>
                <w:rFonts w:ascii="Bookman Old Style" w:eastAsia="Times New Roman" w:hAnsi="Bookman Old Style" w:cs="Arial"/>
                <w:b/>
                <w:bCs/>
              </w:rPr>
            </w:pPr>
            <w:r>
              <w:rPr>
                <w:rFonts w:ascii="Bookman Old Style" w:hAnsi="Bookman Old Style"/>
                <w:b/>
              </w:rPr>
              <w:t xml:space="preserve">Sources de financement et de revenus </w:t>
            </w:r>
          </w:p>
        </w:tc>
        <w:tc>
          <w:tcPr>
            <w:tcW w:w="1649" w:type="dxa"/>
            <w:tcBorders>
              <w:top w:val="single" w:sz="4" w:space="0" w:color="auto"/>
              <w:left w:val="nil"/>
              <w:bottom w:val="single" w:sz="4" w:space="0" w:color="auto"/>
              <w:right w:val="single" w:sz="4" w:space="0" w:color="auto"/>
            </w:tcBorders>
            <w:shd w:val="clear" w:color="auto" w:fill="auto"/>
            <w:vAlign w:val="center"/>
          </w:tcPr>
          <w:p w14:paraId="0A48EEB4" w14:textId="77777777" w:rsidR="008C3C26" w:rsidRPr="00F55B99" w:rsidRDefault="008C3C26" w:rsidP="00CC759F">
            <w:pPr>
              <w:spacing w:after="0" w:line="240" w:lineRule="auto"/>
              <w:ind w:firstLine="360"/>
              <w:jc w:val="center"/>
              <w:rPr>
                <w:rFonts w:ascii="Bookman Old Style" w:eastAsia="Times New Roman" w:hAnsi="Bookman Old Style" w:cs="Arial"/>
                <w:b/>
                <w:bCs/>
                <w:lang w:bidi="en-US"/>
              </w:rPr>
            </w:pPr>
          </w:p>
          <w:p w14:paraId="2AFA275D" w14:textId="77777777" w:rsidR="008C3C26" w:rsidRPr="008921AA" w:rsidRDefault="008C3C26"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Budget</w:t>
            </w:r>
          </w:p>
          <w:p w14:paraId="59C4E88F" w14:textId="77777777" w:rsidR="008C3C26" w:rsidRPr="008921AA" w:rsidRDefault="008C3C26" w:rsidP="00CC759F">
            <w:pPr>
              <w:spacing w:after="0" w:line="240" w:lineRule="auto"/>
              <w:ind w:firstLine="360"/>
              <w:jc w:val="center"/>
              <w:rPr>
                <w:rFonts w:ascii="Bookman Old Style" w:eastAsia="Times New Roman" w:hAnsi="Bookman Old Style" w:cs="Arial"/>
                <w:b/>
                <w:bCs/>
                <w:lang w:val="en-GB" w:bidi="en-US"/>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721AA49E" w14:textId="77777777" w:rsidR="008C3C26" w:rsidRPr="008921AA" w:rsidRDefault="008C3C26" w:rsidP="00CC759F">
            <w:pPr>
              <w:spacing w:after="0" w:line="240" w:lineRule="auto"/>
              <w:ind w:firstLine="360"/>
              <w:jc w:val="center"/>
              <w:rPr>
                <w:rFonts w:ascii="Bookman Old Style" w:eastAsia="Times New Roman" w:hAnsi="Bookman Old Style" w:cs="Arial"/>
                <w:b/>
                <w:bCs/>
                <w:lang w:val="en-GB" w:bidi="en-US"/>
              </w:rPr>
            </w:pPr>
          </w:p>
          <w:p w14:paraId="032A261B" w14:textId="77777777" w:rsidR="008C3C26" w:rsidRPr="008921AA" w:rsidRDefault="008C3C26"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Réel</w:t>
            </w:r>
          </w:p>
          <w:p w14:paraId="03049215" w14:textId="77777777" w:rsidR="008C3C26" w:rsidRPr="008921AA" w:rsidRDefault="008C3C26" w:rsidP="00CC759F">
            <w:pPr>
              <w:spacing w:after="0" w:line="240" w:lineRule="auto"/>
              <w:ind w:firstLine="360"/>
              <w:jc w:val="center"/>
              <w:rPr>
                <w:rFonts w:ascii="Bookman Old Style" w:eastAsia="Times New Roman" w:hAnsi="Bookman Old Style" w:cs="Arial"/>
                <w:b/>
                <w:bCs/>
                <w:lang w:val="en-GB" w:bidi="en-US"/>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164F2EA" w14:textId="77777777" w:rsidR="008C3C26" w:rsidRPr="008921AA" w:rsidRDefault="008C3C26" w:rsidP="00CC759F">
            <w:pPr>
              <w:spacing w:after="0" w:line="240" w:lineRule="auto"/>
              <w:ind w:firstLine="360"/>
              <w:jc w:val="center"/>
              <w:rPr>
                <w:rFonts w:ascii="Bookman Old Style" w:eastAsia="Times New Roman" w:hAnsi="Bookman Old Style" w:cs="Arial"/>
                <w:b/>
                <w:bCs/>
                <w:lang w:val="en-GB" w:bidi="en-US"/>
              </w:rPr>
            </w:pPr>
          </w:p>
          <w:p w14:paraId="78C7F030" w14:textId="5C32DE7C" w:rsidR="008C3C26" w:rsidRPr="008921AA" w:rsidRDefault="00F32CD9"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 xml:space="preserve">Différence </w:t>
            </w:r>
          </w:p>
          <w:p w14:paraId="29565D4C" w14:textId="77777777" w:rsidR="008C3C26" w:rsidRPr="008921AA" w:rsidRDefault="008C3C26" w:rsidP="00CC759F">
            <w:pPr>
              <w:spacing w:after="0" w:line="240" w:lineRule="auto"/>
              <w:ind w:firstLine="360"/>
              <w:jc w:val="center"/>
              <w:rPr>
                <w:rFonts w:ascii="Bookman Old Style" w:eastAsia="Times New Roman" w:hAnsi="Bookman Old Style" w:cs="Arial"/>
                <w:b/>
                <w:bCs/>
                <w:lang w:val="en-GB" w:bidi="en-US"/>
              </w:rPr>
            </w:pPr>
          </w:p>
        </w:tc>
      </w:tr>
      <w:tr w:rsidR="008C3C26" w:rsidRPr="00A64F7F" w14:paraId="34844AF4" w14:textId="77777777" w:rsidTr="00FF0FF7">
        <w:trPr>
          <w:trHeight w:val="161"/>
        </w:trPr>
        <w:tc>
          <w:tcPr>
            <w:tcW w:w="4167" w:type="dxa"/>
            <w:tcBorders>
              <w:top w:val="single" w:sz="4" w:space="0" w:color="auto"/>
              <w:left w:val="single" w:sz="4" w:space="0" w:color="auto"/>
              <w:bottom w:val="single" w:sz="4" w:space="0" w:color="auto"/>
              <w:right w:val="single" w:sz="4" w:space="0" w:color="000000"/>
            </w:tcBorders>
            <w:shd w:val="clear" w:color="auto" w:fill="auto"/>
            <w:vAlign w:val="center"/>
          </w:tcPr>
          <w:p w14:paraId="22282CDB" w14:textId="18AB87D1" w:rsidR="008C3C26" w:rsidRPr="008921AA" w:rsidRDefault="009410CA" w:rsidP="00485ACA">
            <w:pPr>
              <w:spacing w:before="120" w:after="120" w:line="240" w:lineRule="auto"/>
              <w:rPr>
                <w:rFonts w:ascii="Bookman Old Style" w:eastAsia="Times New Roman" w:hAnsi="Bookman Old Style" w:cs="Arial"/>
                <w:color w:val="404040"/>
              </w:rPr>
            </w:pPr>
            <w:r>
              <w:rPr>
                <w:rFonts w:ascii="Bookman Old Style" w:hAnsi="Bookman Old Style"/>
                <w:color w:val="404040"/>
              </w:rPr>
              <w:t>Contribution de la ADA (conformément à la convention de subvention)</w:t>
            </w:r>
          </w:p>
        </w:tc>
        <w:tc>
          <w:tcPr>
            <w:tcW w:w="1649" w:type="dxa"/>
            <w:tcBorders>
              <w:top w:val="nil"/>
              <w:left w:val="nil"/>
              <w:bottom w:val="single" w:sz="4" w:space="0" w:color="auto"/>
              <w:right w:val="single" w:sz="4" w:space="0" w:color="auto"/>
            </w:tcBorders>
            <w:shd w:val="clear" w:color="auto" w:fill="auto"/>
            <w:noWrap/>
            <w:vAlign w:val="center"/>
          </w:tcPr>
          <w:p w14:paraId="7A4D81EE" w14:textId="77777777" w:rsidR="008C3C26" w:rsidRPr="008921AA" w:rsidRDefault="008C3C26" w:rsidP="00EC5C0F">
            <w:pPr>
              <w:spacing w:before="120" w:after="120" w:line="240" w:lineRule="auto"/>
              <w:jc w:val="right"/>
              <w:rPr>
                <w:rFonts w:ascii="Bookman Old Style" w:eastAsia="Times New Roman" w:hAnsi="Bookman Old Style" w:cs="Arial"/>
                <w:color w:val="000000"/>
              </w:rPr>
            </w:pPr>
            <w:r>
              <w:rPr>
                <w:rFonts w:ascii="Bookman Old Style" w:hAnsi="Bookman Old Style"/>
                <w:color w:val="000000"/>
              </w:rPr>
              <w:t>309905,08 </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A7E8665" w14:textId="77777777" w:rsidR="008C3C26" w:rsidRPr="008921AA" w:rsidRDefault="008C3C26" w:rsidP="00EC5C0F">
            <w:pPr>
              <w:spacing w:before="120" w:after="120" w:line="240" w:lineRule="auto"/>
              <w:jc w:val="right"/>
              <w:rPr>
                <w:rFonts w:ascii="Bookman Old Style" w:eastAsia="Times New Roman" w:hAnsi="Bookman Old Style" w:cs="Arial"/>
                <w:color w:val="000000"/>
              </w:rPr>
            </w:pPr>
            <w:r>
              <w:rPr>
                <w:rFonts w:ascii="Bookman Old Style" w:hAnsi="Bookman Old Style"/>
                <w:color w:val="000000"/>
              </w:rPr>
              <w:t>213 451,00 </w:t>
            </w:r>
          </w:p>
        </w:tc>
        <w:tc>
          <w:tcPr>
            <w:tcW w:w="1786" w:type="dxa"/>
            <w:tcBorders>
              <w:top w:val="single" w:sz="4" w:space="0" w:color="auto"/>
              <w:left w:val="single" w:sz="4" w:space="0" w:color="auto"/>
              <w:bottom w:val="single" w:sz="4" w:space="0" w:color="auto"/>
              <w:right w:val="single" w:sz="4" w:space="0" w:color="auto"/>
            </w:tcBorders>
          </w:tcPr>
          <w:p w14:paraId="32F678C7" w14:textId="6652399A" w:rsidR="008C3C26" w:rsidRPr="008921AA" w:rsidRDefault="00043A90" w:rsidP="00EC5C0F">
            <w:pPr>
              <w:spacing w:before="120" w:after="120" w:line="240" w:lineRule="auto"/>
              <w:jc w:val="right"/>
              <w:rPr>
                <w:rFonts w:ascii="Bookman Old Style" w:eastAsia="Times New Roman" w:hAnsi="Bookman Old Style" w:cs="Arial"/>
                <w:color w:val="000000"/>
              </w:rPr>
            </w:pPr>
            <w:r>
              <w:rPr>
                <w:rFonts w:ascii="Bookman Old Style" w:hAnsi="Bookman Old Style"/>
                <w:color w:val="000000"/>
              </w:rPr>
              <w:t>96 454,08</w:t>
            </w:r>
          </w:p>
        </w:tc>
      </w:tr>
      <w:tr w:rsidR="008C3C26" w:rsidRPr="00A64F7F" w14:paraId="4B4DC8F8" w14:textId="77777777" w:rsidTr="00FF0FF7">
        <w:trPr>
          <w:trHeight w:val="161"/>
        </w:trPr>
        <w:tc>
          <w:tcPr>
            <w:tcW w:w="4167" w:type="dxa"/>
            <w:tcBorders>
              <w:top w:val="single" w:sz="4" w:space="0" w:color="auto"/>
              <w:left w:val="single" w:sz="4" w:space="0" w:color="auto"/>
              <w:bottom w:val="single" w:sz="4" w:space="0" w:color="auto"/>
              <w:right w:val="single" w:sz="4" w:space="0" w:color="000000"/>
            </w:tcBorders>
            <w:shd w:val="clear" w:color="auto" w:fill="auto"/>
            <w:vAlign w:val="center"/>
          </w:tcPr>
          <w:p w14:paraId="523C3241" w14:textId="77777777" w:rsidR="008C3C26" w:rsidRPr="008921AA" w:rsidRDefault="008C3C26" w:rsidP="00CC759F">
            <w:pPr>
              <w:spacing w:before="120" w:after="120" w:line="240" w:lineRule="auto"/>
              <w:ind w:firstLine="360"/>
              <w:rPr>
                <w:rFonts w:ascii="Bookman Old Style" w:eastAsia="Times New Roman" w:hAnsi="Bookman Old Style" w:cs="Arial"/>
                <w:b/>
                <w:bCs/>
                <w:color w:val="404040"/>
              </w:rPr>
            </w:pPr>
            <w:r>
              <w:rPr>
                <w:rFonts w:ascii="Bookman Old Style" w:hAnsi="Bookman Old Style"/>
                <w:b/>
                <w:color w:val="404040"/>
              </w:rPr>
              <w:t>Total du financement et des recettes</w:t>
            </w:r>
          </w:p>
        </w:tc>
        <w:tc>
          <w:tcPr>
            <w:tcW w:w="1649" w:type="dxa"/>
            <w:tcBorders>
              <w:top w:val="nil"/>
              <w:left w:val="nil"/>
              <w:bottom w:val="single" w:sz="4" w:space="0" w:color="auto"/>
              <w:right w:val="single" w:sz="4" w:space="0" w:color="auto"/>
            </w:tcBorders>
            <w:shd w:val="clear" w:color="auto" w:fill="auto"/>
            <w:noWrap/>
            <w:vAlign w:val="center"/>
          </w:tcPr>
          <w:p w14:paraId="6A60C99E" w14:textId="77777777" w:rsidR="008C3C26" w:rsidRPr="008921AA" w:rsidRDefault="008C3C26" w:rsidP="00EC5C0F">
            <w:pPr>
              <w:spacing w:before="120" w:after="120" w:line="240" w:lineRule="auto"/>
              <w:jc w:val="right"/>
              <w:rPr>
                <w:rFonts w:ascii="Bookman Old Style" w:eastAsia="Times New Roman" w:hAnsi="Bookman Old Style" w:cs="Arial"/>
                <w:b/>
                <w:bCs/>
                <w:color w:val="000000"/>
              </w:rPr>
            </w:pPr>
            <w:r>
              <w:rPr>
                <w:rFonts w:ascii="Bookman Old Style" w:hAnsi="Bookman Old Style"/>
                <w:b/>
                <w:color w:val="000000"/>
              </w:rPr>
              <w:t>309905,08</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1E23A2B8" w14:textId="77777777" w:rsidR="008C3C26" w:rsidRPr="008921AA" w:rsidRDefault="008C3C26" w:rsidP="00EC5C0F">
            <w:pPr>
              <w:spacing w:before="120" w:after="120" w:line="240" w:lineRule="auto"/>
              <w:jc w:val="right"/>
              <w:rPr>
                <w:rFonts w:ascii="Bookman Old Style" w:eastAsia="Times New Roman" w:hAnsi="Bookman Old Style" w:cs="Arial"/>
                <w:b/>
                <w:bCs/>
                <w:color w:val="000000"/>
              </w:rPr>
            </w:pPr>
            <w:r>
              <w:rPr>
                <w:rFonts w:ascii="Bookman Old Style" w:hAnsi="Bookman Old Style"/>
                <w:color w:val="000000"/>
              </w:rPr>
              <w:t>213 451,00</w:t>
            </w:r>
            <w:r>
              <w:rPr>
                <w:rFonts w:ascii="Bookman Old Style" w:hAnsi="Bookman Old Style"/>
                <w:b/>
                <w:color w:val="000000"/>
              </w:rPr>
              <w:t> </w:t>
            </w:r>
          </w:p>
        </w:tc>
        <w:tc>
          <w:tcPr>
            <w:tcW w:w="1786" w:type="dxa"/>
            <w:tcBorders>
              <w:top w:val="single" w:sz="4" w:space="0" w:color="auto"/>
              <w:left w:val="single" w:sz="4" w:space="0" w:color="auto"/>
              <w:bottom w:val="single" w:sz="4" w:space="0" w:color="auto"/>
              <w:right w:val="single" w:sz="4" w:space="0" w:color="auto"/>
            </w:tcBorders>
          </w:tcPr>
          <w:p w14:paraId="58262B08" w14:textId="0F57BCE3" w:rsidR="008C3C26" w:rsidRPr="008921AA" w:rsidRDefault="00043A90" w:rsidP="00EC5C0F">
            <w:pPr>
              <w:spacing w:before="120" w:after="120" w:line="240" w:lineRule="auto"/>
              <w:jc w:val="right"/>
              <w:rPr>
                <w:rFonts w:ascii="Bookman Old Style" w:eastAsia="Times New Roman" w:hAnsi="Bookman Old Style" w:cs="Arial"/>
                <w:b/>
                <w:bCs/>
                <w:color w:val="000000"/>
              </w:rPr>
            </w:pPr>
            <w:r>
              <w:rPr>
                <w:rFonts w:ascii="Bookman Old Style" w:hAnsi="Bookman Old Style"/>
                <w:color w:val="000000"/>
              </w:rPr>
              <w:t>96 454,08</w:t>
            </w:r>
          </w:p>
        </w:tc>
      </w:tr>
      <w:tr w:rsidR="008C3C26" w:rsidRPr="00A64F7F" w14:paraId="3BF556A0" w14:textId="77777777" w:rsidTr="00FF0FF7">
        <w:trPr>
          <w:trHeight w:val="161"/>
        </w:trPr>
        <w:tc>
          <w:tcPr>
            <w:tcW w:w="4167" w:type="dxa"/>
            <w:tcBorders>
              <w:top w:val="single" w:sz="4" w:space="0" w:color="auto"/>
              <w:left w:val="nil"/>
              <w:bottom w:val="single" w:sz="4" w:space="0" w:color="auto"/>
            </w:tcBorders>
            <w:shd w:val="clear" w:color="auto" w:fill="auto"/>
            <w:vAlign w:val="center"/>
          </w:tcPr>
          <w:p w14:paraId="28729EA4" w14:textId="3351ED5B" w:rsidR="00FF0FF7" w:rsidRPr="00485ACA" w:rsidRDefault="00FF0FF7" w:rsidP="00FF0FF7">
            <w:pPr>
              <w:spacing w:before="120" w:after="120" w:line="240" w:lineRule="auto"/>
              <w:rPr>
                <w:rFonts w:ascii="Bookman Old Style" w:eastAsia="Times New Roman" w:hAnsi="Bookman Old Style" w:cs="Arial"/>
                <w:b/>
                <w:bCs/>
                <w:color w:val="000000"/>
                <w:sz w:val="24"/>
                <w:szCs w:val="24"/>
                <w:lang w:val="en-GB" w:bidi="en-US"/>
              </w:rPr>
            </w:pPr>
          </w:p>
        </w:tc>
        <w:tc>
          <w:tcPr>
            <w:tcW w:w="1649" w:type="dxa"/>
            <w:tcBorders>
              <w:top w:val="single" w:sz="4" w:space="0" w:color="auto"/>
              <w:bottom w:val="single" w:sz="4" w:space="0" w:color="auto"/>
            </w:tcBorders>
            <w:shd w:val="clear" w:color="auto" w:fill="auto"/>
            <w:noWrap/>
            <w:vAlign w:val="center"/>
          </w:tcPr>
          <w:p w14:paraId="503CB692" w14:textId="77777777" w:rsidR="008C3C26" w:rsidRPr="00485ACA" w:rsidRDefault="008C3C26" w:rsidP="00CC759F">
            <w:pPr>
              <w:spacing w:before="120" w:after="120" w:line="240" w:lineRule="auto"/>
              <w:ind w:firstLine="360"/>
              <w:jc w:val="right"/>
              <w:rPr>
                <w:rFonts w:ascii="Bookman Old Style" w:eastAsia="Times New Roman" w:hAnsi="Bookman Old Style" w:cs="Arial"/>
                <w:b/>
                <w:bCs/>
                <w:color w:val="000000"/>
                <w:sz w:val="24"/>
                <w:szCs w:val="24"/>
                <w:lang w:val="en-GB" w:bidi="en-US"/>
              </w:rPr>
            </w:pPr>
          </w:p>
        </w:tc>
        <w:tc>
          <w:tcPr>
            <w:tcW w:w="1649" w:type="dxa"/>
            <w:tcBorders>
              <w:top w:val="single" w:sz="4" w:space="0" w:color="auto"/>
              <w:bottom w:val="single" w:sz="4" w:space="0" w:color="auto"/>
            </w:tcBorders>
            <w:shd w:val="clear" w:color="auto" w:fill="auto"/>
            <w:noWrap/>
            <w:vAlign w:val="center"/>
          </w:tcPr>
          <w:p w14:paraId="4434D355" w14:textId="77777777" w:rsidR="008C3C26" w:rsidRPr="00485ACA" w:rsidRDefault="008C3C26" w:rsidP="00CC759F">
            <w:pPr>
              <w:spacing w:before="120" w:after="120" w:line="240" w:lineRule="auto"/>
              <w:ind w:firstLine="360"/>
              <w:jc w:val="right"/>
              <w:rPr>
                <w:rFonts w:ascii="Bookman Old Style" w:eastAsia="Times New Roman" w:hAnsi="Bookman Old Style" w:cs="Arial"/>
                <w:b/>
                <w:bCs/>
                <w:color w:val="000000"/>
                <w:sz w:val="24"/>
                <w:szCs w:val="24"/>
                <w:lang w:val="en-GB" w:bidi="en-US"/>
              </w:rPr>
            </w:pPr>
          </w:p>
        </w:tc>
        <w:tc>
          <w:tcPr>
            <w:tcW w:w="1786" w:type="dxa"/>
            <w:tcBorders>
              <w:top w:val="single" w:sz="4" w:space="0" w:color="auto"/>
              <w:bottom w:val="single" w:sz="4" w:space="0" w:color="auto"/>
            </w:tcBorders>
          </w:tcPr>
          <w:p w14:paraId="399C4AFB" w14:textId="77777777" w:rsidR="008C3C26" w:rsidRPr="00485ACA" w:rsidRDefault="008C3C26" w:rsidP="00CC759F">
            <w:pPr>
              <w:spacing w:before="120" w:after="120" w:line="240" w:lineRule="auto"/>
              <w:ind w:firstLine="360"/>
              <w:jc w:val="right"/>
              <w:rPr>
                <w:rFonts w:ascii="Bookman Old Style" w:eastAsia="Times New Roman" w:hAnsi="Bookman Old Style" w:cs="Arial"/>
                <w:b/>
                <w:bCs/>
                <w:color w:val="000000"/>
                <w:sz w:val="24"/>
                <w:szCs w:val="24"/>
                <w:lang w:val="en-GB" w:bidi="en-US"/>
              </w:rPr>
            </w:pPr>
          </w:p>
        </w:tc>
      </w:tr>
      <w:tr w:rsidR="008C3C26" w:rsidRPr="00A64F7F" w14:paraId="3542256F" w14:textId="77777777" w:rsidTr="00FF0FF7">
        <w:trPr>
          <w:trHeight w:val="161"/>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E0910FD" w14:textId="4120507F" w:rsidR="008C3C26" w:rsidRPr="00A620BA" w:rsidRDefault="008C3C26" w:rsidP="00031E5B">
            <w:pPr>
              <w:spacing w:before="120" w:after="120" w:line="240" w:lineRule="auto"/>
              <w:rPr>
                <w:rFonts w:ascii="Bookman Old Style" w:eastAsia="Times New Roman" w:hAnsi="Bookman Old Style" w:cs="Arial"/>
                <w:bCs/>
              </w:rPr>
            </w:pPr>
            <w:r>
              <w:rPr>
                <w:rFonts w:ascii="Bookman Old Style" w:hAnsi="Bookman Old Style"/>
                <w:b/>
              </w:rPr>
              <w:t>Catégorie de dépenses selon la convention de subvention</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A415" w14:textId="77777777" w:rsidR="008C3C26" w:rsidRPr="00F55B99" w:rsidRDefault="008C3C26" w:rsidP="00CC759F">
            <w:pPr>
              <w:spacing w:after="0" w:line="240" w:lineRule="auto"/>
              <w:ind w:firstLine="360"/>
              <w:jc w:val="center"/>
              <w:rPr>
                <w:rFonts w:ascii="Bookman Old Style" w:eastAsia="Times New Roman" w:hAnsi="Bookman Old Style" w:cs="Arial"/>
                <w:b/>
                <w:bCs/>
                <w:lang w:bidi="en-US"/>
              </w:rPr>
            </w:pPr>
          </w:p>
          <w:p w14:paraId="6DECA23A" w14:textId="77777777" w:rsidR="008C3C26" w:rsidRPr="00A620BA" w:rsidRDefault="008C3C26"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Budget</w:t>
            </w:r>
          </w:p>
          <w:p w14:paraId="2A187ACA" w14:textId="72C4645C" w:rsidR="008C3C26" w:rsidRPr="00A620BA" w:rsidRDefault="00A620BA"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Euro</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82B6AA2" w14:textId="77777777" w:rsidR="008C3C26" w:rsidRPr="00A620BA" w:rsidRDefault="008C3C26" w:rsidP="00CC759F">
            <w:pPr>
              <w:spacing w:after="0" w:line="240" w:lineRule="auto"/>
              <w:ind w:firstLine="360"/>
              <w:jc w:val="center"/>
              <w:rPr>
                <w:rFonts w:ascii="Bookman Old Style" w:eastAsia="Times New Roman" w:hAnsi="Bookman Old Style" w:cs="Arial"/>
                <w:b/>
                <w:bCs/>
                <w:lang w:val="en-GB" w:bidi="en-US"/>
              </w:rPr>
            </w:pPr>
          </w:p>
          <w:p w14:paraId="04A674C3" w14:textId="77777777" w:rsidR="008C3C26" w:rsidRPr="00A620BA" w:rsidRDefault="008C3C26"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Montants effectifs</w:t>
            </w:r>
          </w:p>
          <w:p w14:paraId="00DA2141" w14:textId="58D3874D" w:rsidR="008C3C26" w:rsidRPr="00A620BA" w:rsidRDefault="00A620BA"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Euro</w:t>
            </w:r>
          </w:p>
        </w:tc>
        <w:tc>
          <w:tcPr>
            <w:tcW w:w="1786" w:type="dxa"/>
            <w:tcBorders>
              <w:top w:val="single" w:sz="4" w:space="0" w:color="auto"/>
              <w:left w:val="nil"/>
              <w:bottom w:val="single" w:sz="4" w:space="0" w:color="auto"/>
              <w:right w:val="single" w:sz="4" w:space="0" w:color="auto"/>
            </w:tcBorders>
            <w:shd w:val="clear" w:color="auto" w:fill="auto"/>
            <w:vAlign w:val="center"/>
          </w:tcPr>
          <w:p w14:paraId="4B3A67DF" w14:textId="77777777" w:rsidR="008C3C26" w:rsidRPr="00A620BA" w:rsidRDefault="008C3C26" w:rsidP="00CC759F">
            <w:pPr>
              <w:spacing w:after="0" w:line="240" w:lineRule="auto"/>
              <w:ind w:firstLine="360"/>
              <w:jc w:val="center"/>
              <w:rPr>
                <w:rFonts w:ascii="Bookman Old Style" w:eastAsia="Times New Roman" w:hAnsi="Bookman Old Style" w:cs="Arial"/>
                <w:b/>
                <w:bCs/>
                <w:lang w:val="en-GB" w:bidi="en-US"/>
              </w:rPr>
            </w:pPr>
          </w:p>
          <w:p w14:paraId="1AAFA4C4" w14:textId="535A2269" w:rsidR="008C3C26" w:rsidRPr="00A620BA" w:rsidRDefault="00DC2823"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Différence</w:t>
            </w:r>
          </w:p>
          <w:p w14:paraId="5F50AE78" w14:textId="45FA7841" w:rsidR="008C3C26" w:rsidRPr="00A620BA" w:rsidRDefault="00A620BA" w:rsidP="00CC759F">
            <w:pPr>
              <w:spacing w:after="0" w:line="240" w:lineRule="auto"/>
              <w:ind w:firstLine="360"/>
              <w:jc w:val="center"/>
              <w:rPr>
                <w:rFonts w:ascii="Bookman Old Style" w:eastAsia="Times New Roman" w:hAnsi="Bookman Old Style" w:cs="Arial"/>
                <w:b/>
                <w:bCs/>
              </w:rPr>
            </w:pPr>
            <w:r>
              <w:rPr>
                <w:rFonts w:ascii="Bookman Old Style" w:hAnsi="Bookman Old Style"/>
                <w:b/>
              </w:rPr>
              <w:t>Euro</w:t>
            </w:r>
          </w:p>
        </w:tc>
      </w:tr>
      <w:tr w:rsidR="008C3C26" w:rsidRPr="00A64F7F" w14:paraId="42F4BF4D" w14:textId="77777777" w:rsidTr="00FF0FF7">
        <w:trPr>
          <w:trHeight w:val="161"/>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5A2E61F" w14:textId="77777777" w:rsidR="008C3C26" w:rsidRPr="00A620BA" w:rsidRDefault="008C3C26" w:rsidP="00CC759F">
            <w:pPr>
              <w:spacing w:before="120" w:after="120" w:line="240" w:lineRule="auto"/>
              <w:ind w:firstLine="360"/>
              <w:rPr>
                <w:rFonts w:ascii="Bookman Old Style" w:eastAsia="Times New Roman" w:hAnsi="Bookman Old Style" w:cs="Arial"/>
                <w:color w:val="404040"/>
              </w:rPr>
            </w:pPr>
            <w:r>
              <w:rPr>
                <w:rFonts w:ascii="Bookman Old Style" w:hAnsi="Bookman Old Style"/>
                <w:color w:val="404040"/>
              </w:rPr>
              <w:t>Experts externes</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30217" w14:textId="77777777" w:rsidR="008C3C26" w:rsidRPr="00A620BA" w:rsidRDefault="008C3C26"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138146,74</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1253E322" w14:textId="77777777" w:rsidR="008C3C26" w:rsidRPr="00A620BA" w:rsidRDefault="008C3C26"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59 410,37</w:t>
            </w:r>
          </w:p>
        </w:tc>
        <w:tc>
          <w:tcPr>
            <w:tcW w:w="1786" w:type="dxa"/>
            <w:tcBorders>
              <w:top w:val="single" w:sz="4" w:space="0" w:color="auto"/>
              <w:left w:val="nil"/>
              <w:bottom w:val="single" w:sz="4" w:space="0" w:color="auto"/>
              <w:right w:val="single" w:sz="4" w:space="0" w:color="auto"/>
            </w:tcBorders>
            <w:vAlign w:val="center"/>
          </w:tcPr>
          <w:p w14:paraId="373D3A5C" w14:textId="4DD593A0" w:rsidR="008C3C26" w:rsidRPr="00A620BA" w:rsidRDefault="00A51E10"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78 736,37</w:t>
            </w:r>
          </w:p>
        </w:tc>
      </w:tr>
      <w:tr w:rsidR="008C3C26" w:rsidRPr="00A64F7F" w14:paraId="2B15FD7F" w14:textId="77777777" w:rsidTr="00FF0FF7">
        <w:trPr>
          <w:trHeight w:val="161"/>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25BCBAF" w14:textId="77777777" w:rsidR="008C3C26" w:rsidRPr="00A620BA" w:rsidRDefault="008C3C26" w:rsidP="00CC759F">
            <w:pPr>
              <w:spacing w:before="120" w:after="120" w:line="240" w:lineRule="auto"/>
              <w:ind w:firstLine="360"/>
              <w:rPr>
                <w:rFonts w:ascii="Bookman Old Style" w:eastAsia="Times New Roman" w:hAnsi="Bookman Old Style" w:cs="Arial"/>
                <w:color w:val="404040"/>
              </w:rPr>
            </w:pPr>
            <w:r>
              <w:rPr>
                <w:rFonts w:ascii="Bookman Old Style" w:hAnsi="Bookman Old Style"/>
                <w:color w:val="404040"/>
              </w:rPr>
              <w:t>Frais de voyage</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1C2D4" w14:textId="77777777" w:rsidR="008C3C26" w:rsidRPr="00A620BA" w:rsidRDefault="008C3C26"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137579,59</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16BC1915" w14:textId="09887702" w:rsidR="008C3C26" w:rsidRPr="00A620BA" w:rsidRDefault="008C3C26"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49 257,19</w:t>
            </w:r>
          </w:p>
        </w:tc>
        <w:tc>
          <w:tcPr>
            <w:tcW w:w="1786" w:type="dxa"/>
            <w:tcBorders>
              <w:top w:val="single" w:sz="4" w:space="0" w:color="auto"/>
              <w:left w:val="nil"/>
              <w:bottom w:val="single" w:sz="4" w:space="0" w:color="auto"/>
              <w:right w:val="single" w:sz="4" w:space="0" w:color="auto"/>
            </w:tcBorders>
            <w:vAlign w:val="center"/>
          </w:tcPr>
          <w:p w14:paraId="491AFAD8" w14:textId="2A939345" w:rsidR="008C3C26" w:rsidRPr="00A620BA" w:rsidRDefault="00794374"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88 322,40</w:t>
            </w:r>
          </w:p>
        </w:tc>
      </w:tr>
      <w:tr w:rsidR="008C3C26" w:rsidRPr="00A64F7F" w14:paraId="24B8EA25" w14:textId="77777777" w:rsidTr="00FF0FF7">
        <w:trPr>
          <w:trHeight w:val="161"/>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AAC07D" w14:textId="77777777" w:rsidR="008C3C26" w:rsidRPr="00A620BA" w:rsidRDefault="008C3C26" w:rsidP="00CC759F">
            <w:pPr>
              <w:spacing w:before="120" w:after="120" w:line="240" w:lineRule="auto"/>
              <w:ind w:firstLine="360"/>
              <w:rPr>
                <w:rFonts w:ascii="Bookman Old Style" w:eastAsia="Times New Roman" w:hAnsi="Bookman Old Style" w:cs="Arial"/>
                <w:color w:val="404040"/>
              </w:rPr>
            </w:pPr>
            <w:r>
              <w:rPr>
                <w:rFonts w:ascii="Bookman Old Style" w:hAnsi="Bookman Old Style"/>
                <w:color w:val="404040"/>
              </w:rPr>
              <w:t>Acquisition de biens</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73C9A" w14:textId="0FA35F37" w:rsidR="008C3C26" w:rsidRPr="00A620BA" w:rsidRDefault="00A620BA"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 xml:space="preserve">  34178,75</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64CC9478" w14:textId="61976E05" w:rsidR="008C3C26" w:rsidRPr="00A620BA" w:rsidRDefault="00A620BA"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 xml:space="preserve">  3 268,44</w:t>
            </w:r>
          </w:p>
        </w:tc>
        <w:tc>
          <w:tcPr>
            <w:tcW w:w="1786" w:type="dxa"/>
            <w:tcBorders>
              <w:top w:val="single" w:sz="4" w:space="0" w:color="auto"/>
              <w:left w:val="nil"/>
              <w:bottom w:val="single" w:sz="4" w:space="0" w:color="auto"/>
              <w:right w:val="single" w:sz="4" w:space="0" w:color="auto"/>
            </w:tcBorders>
          </w:tcPr>
          <w:p w14:paraId="1768A61A" w14:textId="34E422F1" w:rsidR="008C3C26" w:rsidRPr="00A620BA" w:rsidRDefault="00794374" w:rsidP="00EC5C0F">
            <w:pPr>
              <w:spacing w:before="120" w:after="120" w:line="240" w:lineRule="auto"/>
              <w:jc w:val="right"/>
              <w:rPr>
                <w:rFonts w:ascii="Bookman Old Style" w:eastAsia="Times New Roman" w:hAnsi="Bookman Old Style" w:cs="Arial"/>
                <w:bCs/>
                <w:color w:val="404040"/>
              </w:rPr>
            </w:pPr>
            <w:r>
              <w:rPr>
                <w:rFonts w:ascii="Bookman Old Style" w:hAnsi="Bookman Old Style"/>
                <w:color w:val="404040"/>
              </w:rPr>
              <w:t>30 910,31</w:t>
            </w:r>
          </w:p>
        </w:tc>
      </w:tr>
      <w:tr w:rsidR="008C3C26" w:rsidRPr="00A64F7F" w14:paraId="2FB44A9E" w14:textId="77777777" w:rsidTr="00FF0FF7">
        <w:trPr>
          <w:trHeight w:val="161"/>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4FB57D8" w14:textId="77777777" w:rsidR="008C3C26" w:rsidRPr="00A620BA" w:rsidRDefault="008C3C26" w:rsidP="00031E5B">
            <w:pPr>
              <w:spacing w:before="120" w:after="120" w:line="240" w:lineRule="auto"/>
              <w:rPr>
                <w:rFonts w:ascii="Bookman Old Style" w:eastAsia="Times New Roman" w:hAnsi="Bookman Old Style" w:cs="Arial"/>
                <w:color w:val="404040"/>
              </w:rPr>
            </w:pPr>
            <w:r>
              <w:rPr>
                <w:rFonts w:ascii="Bookman Old Style" w:hAnsi="Bookman Old Style"/>
                <w:b/>
                <w:color w:val="404040"/>
              </w:rPr>
              <w:t>Dépenses totales pour le projet</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E179" w14:textId="77777777" w:rsidR="008C3C26" w:rsidRPr="00A620BA" w:rsidRDefault="008C3C26" w:rsidP="00EC5C0F">
            <w:pPr>
              <w:spacing w:before="120" w:after="120" w:line="240" w:lineRule="auto"/>
              <w:jc w:val="right"/>
              <w:rPr>
                <w:rFonts w:ascii="Bookman Old Style" w:eastAsia="Times New Roman" w:hAnsi="Bookman Old Style" w:cs="Arial"/>
                <w:b/>
                <w:bCs/>
                <w:color w:val="404040"/>
              </w:rPr>
            </w:pPr>
            <w:r>
              <w:rPr>
                <w:rFonts w:ascii="Bookman Old Style" w:hAnsi="Bookman Old Style"/>
                <w:b/>
                <w:color w:val="404040"/>
              </w:rPr>
              <w:t>309905,08</w:t>
            </w: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748796ED" w14:textId="77777777" w:rsidR="008C3C26" w:rsidRPr="00A620BA" w:rsidRDefault="008C3C26" w:rsidP="00EC5C0F">
            <w:pPr>
              <w:spacing w:before="120" w:after="120" w:line="240" w:lineRule="auto"/>
              <w:jc w:val="right"/>
              <w:rPr>
                <w:rFonts w:ascii="Bookman Old Style" w:eastAsia="Times New Roman" w:hAnsi="Bookman Old Style" w:cs="Arial"/>
                <w:b/>
                <w:bCs/>
                <w:color w:val="404040"/>
              </w:rPr>
            </w:pPr>
            <w:r>
              <w:rPr>
                <w:rFonts w:ascii="Bookman Old Style" w:hAnsi="Bookman Old Style"/>
                <w:color w:val="404040"/>
              </w:rPr>
              <w:t>111 936,00</w:t>
            </w:r>
          </w:p>
        </w:tc>
        <w:tc>
          <w:tcPr>
            <w:tcW w:w="1786" w:type="dxa"/>
            <w:tcBorders>
              <w:top w:val="single" w:sz="4" w:space="0" w:color="auto"/>
              <w:left w:val="nil"/>
              <w:bottom w:val="single" w:sz="4" w:space="0" w:color="auto"/>
              <w:right w:val="single" w:sz="4" w:space="0" w:color="auto"/>
            </w:tcBorders>
          </w:tcPr>
          <w:p w14:paraId="10B5F63D" w14:textId="0F7A13B8" w:rsidR="008C3C26" w:rsidRPr="00A620BA" w:rsidRDefault="00DC2823" w:rsidP="00EC5C0F">
            <w:pPr>
              <w:spacing w:before="120" w:after="120" w:line="240" w:lineRule="auto"/>
              <w:jc w:val="right"/>
              <w:rPr>
                <w:rFonts w:ascii="Bookman Old Style" w:eastAsia="Times New Roman" w:hAnsi="Bookman Old Style" w:cs="Arial"/>
                <w:b/>
                <w:bCs/>
                <w:color w:val="404040"/>
              </w:rPr>
            </w:pPr>
            <w:r>
              <w:rPr>
                <w:rFonts w:ascii="Bookman Old Style" w:hAnsi="Bookman Old Style"/>
                <w:color w:val="404040"/>
              </w:rPr>
              <w:t>197 969,08</w:t>
            </w:r>
          </w:p>
        </w:tc>
      </w:tr>
      <w:tr w:rsidR="008C7FD5" w:rsidRPr="00A64F7F" w14:paraId="28A169A7" w14:textId="77777777" w:rsidTr="00FF0FF7">
        <w:trPr>
          <w:trHeight w:val="161"/>
        </w:trPr>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3C0AB5F" w14:textId="6C8D6475" w:rsidR="008C7FD5" w:rsidRPr="00A620BA" w:rsidRDefault="008C7FD5" w:rsidP="00031E5B">
            <w:pPr>
              <w:spacing w:before="120" w:after="120" w:line="240" w:lineRule="auto"/>
              <w:rPr>
                <w:rFonts w:ascii="Bookman Old Style" w:eastAsia="Times New Roman" w:hAnsi="Bookman Old Style" w:cs="Arial"/>
                <w:b/>
                <w:bCs/>
                <w:color w:val="404040"/>
              </w:rPr>
            </w:pPr>
            <w:r>
              <w:rPr>
                <w:rFonts w:ascii="Bookman Old Style" w:hAnsi="Bookman Old Style"/>
                <w:b/>
                <w:color w:val="404040"/>
              </w:rPr>
              <w:t>Surplus net</w:t>
            </w:r>
          </w:p>
        </w:tc>
        <w:tc>
          <w:tcPr>
            <w:tcW w:w="164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17B507A" w14:textId="35BA922E" w:rsidR="008C7FD5" w:rsidRPr="00A620BA" w:rsidRDefault="008C7FD5" w:rsidP="00EC5C0F">
            <w:pPr>
              <w:spacing w:before="120" w:after="120" w:line="240" w:lineRule="auto"/>
              <w:jc w:val="right"/>
              <w:rPr>
                <w:rFonts w:ascii="Bookman Old Style" w:eastAsia="Times New Roman" w:hAnsi="Bookman Old Style" w:cs="Arial"/>
                <w:b/>
                <w:bCs/>
                <w:color w:val="404040"/>
                <w:lang w:val="en-GB" w:bidi="en-US"/>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32CB20A1" w14:textId="06CA4216" w:rsidR="008C7FD5" w:rsidRPr="00A620BA" w:rsidRDefault="008C7FD5" w:rsidP="00EC5C0F">
            <w:pPr>
              <w:spacing w:before="120" w:after="120" w:line="240" w:lineRule="auto"/>
              <w:jc w:val="right"/>
              <w:rPr>
                <w:rFonts w:ascii="Bookman Old Style" w:eastAsia="Times New Roman" w:hAnsi="Bookman Old Style" w:cs="Arial"/>
                <w:b/>
                <w:bCs/>
                <w:color w:val="404040"/>
              </w:rPr>
            </w:pPr>
            <w:r>
              <w:rPr>
                <w:rFonts w:ascii="Bookman Old Style" w:hAnsi="Bookman Old Style"/>
                <w:b/>
                <w:color w:val="404040"/>
              </w:rPr>
              <w:t>101515,00</w:t>
            </w:r>
          </w:p>
        </w:tc>
        <w:tc>
          <w:tcPr>
            <w:tcW w:w="1786" w:type="dxa"/>
            <w:tcBorders>
              <w:top w:val="single" w:sz="4" w:space="0" w:color="auto"/>
              <w:left w:val="nil"/>
              <w:bottom w:val="single" w:sz="4" w:space="0" w:color="auto"/>
              <w:right w:val="single" w:sz="4" w:space="0" w:color="auto"/>
            </w:tcBorders>
            <w:shd w:val="clear" w:color="auto" w:fill="E7E6E6" w:themeFill="background2"/>
          </w:tcPr>
          <w:p w14:paraId="35AF7ED4" w14:textId="77777777" w:rsidR="008C7FD5" w:rsidRPr="00A620BA" w:rsidRDefault="008C7FD5" w:rsidP="00EC5C0F">
            <w:pPr>
              <w:spacing w:before="120" w:after="120" w:line="240" w:lineRule="auto"/>
              <w:jc w:val="right"/>
              <w:rPr>
                <w:rFonts w:ascii="Bookman Old Style" w:eastAsia="Times New Roman" w:hAnsi="Bookman Old Style" w:cs="Arial"/>
                <w:b/>
                <w:bCs/>
                <w:color w:val="404040"/>
                <w:lang w:bidi="en-US"/>
              </w:rPr>
            </w:pPr>
          </w:p>
        </w:tc>
      </w:tr>
    </w:tbl>
    <w:p w14:paraId="3CE6A932" w14:textId="08F88F71" w:rsidR="008C3C26" w:rsidRPr="00EC5C0F" w:rsidRDefault="008C3C26" w:rsidP="008921AA">
      <w:pPr>
        <w:pStyle w:val="ListParagraph"/>
        <w:numPr>
          <w:ilvl w:val="1"/>
          <w:numId w:val="37"/>
        </w:numPr>
        <w:jc w:val="both"/>
        <w:rPr>
          <w:rFonts w:ascii="Bookman Old Style" w:eastAsia="Calibri" w:hAnsi="Bookman Old Style" w:cs="Arial"/>
          <w:b/>
          <w:sz w:val="24"/>
          <w:szCs w:val="24"/>
        </w:rPr>
      </w:pPr>
      <w:bookmarkStart w:id="24" w:name="_Hlk85390979"/>
      <w:r>
        <w:rPr>
          <w:rFonts w:ascii="Bookman Old Style" w:hAnsi="Bookman Old Style"/>
          <w:b/>
          <w:sz w:val="24"/>
        </w:rPr>
        <w:lastRenderedPageBreak/>
        <w:t>PROJET D'ACTIONAID SUR LA RESPONSABILITÉ ET LA PRISE EN COMPTE DU GENRE</w:t>
      </w:r>
    </w:p>
    <w:p w14:paraId="1A8E5E6D" w14:textId="77777777" w:rsidR="00EC5C0F" w:rsidRPr="008921AA" w:rsidRDefault="00EC5C0F" w:rsidP="00EC5C0F">
      <w:pPr>
        <w:pStyle w:val="ListParagraph"/>
        <w:ind w:firstLine="0"/>
        <w:jc w:val="both"/>
        <w:rPr>
          <w:rFonts w:ascii="Bookman Old Style" w:eastAsia="Calibri" w:hAnsi="Bookman Old Style" w:cs="Arial"/>
          <w:b/>
          <w:sz w:val="24"/>
          <w:szCs w:val="24"/>
        </w:rPr>
      </w:pPr>
    </w:p>
    <w:bookmarkEnd w:id="24"/>
    <w:p w14:paraId="77F5AE77" w14:textId="77777777" w:rsidR="008C3C26" w:rsidRPr="00EC5C0F" w:rsidRDefault="008C3C26" w:rsidP="008921AA">
      <w:pPr>
        <w:numPr>
          <w:ilvl w:val="2"/>
          <w:numId w:val="37"/>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La subvention est financée par l'Agence suisse pour le développement et la coopération (SDC). La subvention est administrée en leur nom par ACTIONAID. Le projet s'étend du 1</w:t>
      </w:r>
      <w:r>
        <w:rPr>
          <w:rFonts w:ascii="Bookman Old Style" w:hAnsi="Bookman Old Style"/>
          <w:sz w:val="24"/>
          <w:vertAlign w:val="superscript"/>
        </w:rPr>
        <w:t>er</w:t>
      </w:r>
      <w:r>
        <w:rPr>
          <w:rFonts w:ascii="Bookman Old Style" w:hAnsi="Bookman Old Style"/>
          <w:sz w:val="24"/>
        </w:rPr>
        <w:t xml:space="preserve"> juillet 2019 au 30 juin 2023. Le montant de la subvention est de US$158 199. Le bailleur de fonds n'exige pas d'états financiers vérifiés pour sa subvention mais demande des rapports financiers périodiques qui sont soumis tous les six mois. </w:t>
      </w:r>
    </w:p>
    <w:p w14:paraId="230A55C0" w14:textId="77777777" w:rsidR="00EC5C0F" w:rsidRPr="00A64F7F" w:rsidRDefault="00EC5C0F" w:rsidP="00EC5C0F">
      <w:pPr>
        <w:spacing w:after="0" w:line="240" w:lineRule="auto"/>
        <w:ind w:left="720"/>
        <w:contextualSpacing/>
        <w:jc w:val="both"/>
        <w:rPr>
          <w:rFonts w:ascii="Bookman Old Style" w:eastAsia="Calibri" w:hAnsi="Bookman Old Style" w:cs="Arial"/>
          <w:bCs/>
          <w:sz w:val="24"/>
          <w:szCs w:val="24"/>
        </w:rPr>
      </w:pPr>
    </w:p>
    <w:p w14:paraId="27330597" w14:textId="77777777" w:rsidR="008C3C26" w:rsidRPr="00A64F7F" w:rsidRDefault="008C3C26" w:rsidP="008921AA">
      <w:pPr>
        <w:numPr>
          <w:ilvl w:val="2"/>
          <w:numId w:val="37"/>
        </w:numPr>
        <w:spacing w:after="0" w:line="240" w:lineRule="auto"/>
        <w:contextualSpacing/>
        <w:jc w:val="both"/>
        <w:rPr>
          <w:rFonts w:ascii="Bookman Old Style" w:eastAsia="Calibri" w:hAnsi="Bookman Old Style" w:cs="Arial"/>
          <w:bCs/>
          <w:sz w:val="24"/>
          <w:szCs w:val="24"/>
        </w:rPr>
      </w:pPr>
      <w:r>
        <w:rPr>
          <w:rFonts w:ascii="Bookman Old Style" w:hAnsi="Bookman Old Style"/>
          <w:sz w:val="24"/>
        </w:rPr>
        <w:t>L'objectif général du projet est d'améliorer la responsabilité et la sensibilité au genre dans la gestion des ressources publiques, en particulier dans les domaines des services VIH/SDR pour les adolescents et les jeunes et des services agricoles contribuant à la réalisation de certains engagements régionaux de la SADC.</w:t>
      </w:r>
    </w:p>
    <w:p w14:paraId="6B6A3D28" w14:textId="77777777" w:rsidR="008C3C26" w:rsidRPr="00F55B99" w:rsidRDefault="008C3C26" w:rsidP="008C3C26">
      <w:pPr>
        <w:spacing w:after="0" w:line="240" w:lineRule="auto"/>
        <w:ind w:left="960"/>
        <w:contextualSpacing/>
        <w:jc w:val="both"/>
        <w:rPr>
          <w:rFonts w:ascii="Bookman Old Style" w:eastAsia="Calibri" w:hAnsi="Bookman Old Style" w:cs="Arial"/>
          <w:bCs/>
          <w:sz w:val="24"/>
          <w:szCs w:val="24"/>
          <w:lang w:bidi="en-US"/>
        </w:rPr>
      </w:pPr>
    </w:p>
    <w:p w14:paraId="65B9166C" w14:textId="77777777" w:rsidR="008C3C26" w:rsidRPr="00A64F7F" w:rsidRDefault="008C3C26" w:rsidP="008921AA">
      <w:pPr>
        <w:numPr>
          <w:ilvl w:val="2"/>
          <w:numId w:val="37"/>
        </w:numPr>
        <w:spacing w:after="0" w:line="240" w:lineRule="auto"/>
        <w:contextualSpacing/>
        <w:jc w:val="both"/>
        <w:rPr>
          <w:rFonts w:ascii="Bookman Old Style" w:eastAsia="Calibri" w:hAnsi="Bookman Old Style" w:cs="Arial"/>
          <w:bCs/>
          <w:sz w:val="24"/>
          <w:szCs w:val="24"/>
        </w:rPr>
      </w:pPr>
      <w:bookmarkStart w:id="25" w:name="_Hlk85181325"/>
      <w:r>
        <w:rPr>
          <w:rFonts w:ascii="Bookman Old Style" w:hAnsi="Bookman Old Style"/>
          <w:sz w:val="24"/>
        </w:rPr>
        <w:t>État de la situation financière au 30 septembre 2022</w:t>
      </w:r>
      <w:bookmarkEnd w:id="25"/>
    </w:p>
    <w:p w14:paraId="089E26D9" w14:textId="77777777" w:rsidR="008C3C26" w:rsidRPr="00F55B99" w:rsidRDefault="008C3C26" w:rsidP="008C3C26">
      <w:pPr>
        <w:spacing w:after="0" w:line="240" w:lineRule="auto"/>
        <w:ind w:left="720" w:firstLine="360"/>
        <w:contextualSpacing/>
        <w:rPr>
          <w:rFonts w:ascii="Bookman Old Style" w:eastAsia="Calibri" w:hAnsi="Bookman Old Style" w:cs="Arial"/>
          <w:b/>
          <w:sz w:val="24"/>
          <w:szCs w:val="24"/>
          <w:lang w:bidi="en-US"/>
        </w:rPr>
      </w:pPr>
    </w:p>
    <w:p w14:paraId="3644FEBE" w14:textId="43207C26" w:rsidR="008C3C26" w:rsidRPr="00EC5C0F" w:rsidRDefault="00F806F3" w:rsidP="00EC5C0F">
      <w:pPr>
        <w:pStyle w:val="ListParagraph"/>
        <w:numPr>
          <w:ilvl w:val="3"/>
          <w:numId w:val="37"/>
        </w:numPr>
        <w:ind w:left="993" w:hanging="993"/>
        <w:jc w:val="both"/>
        <w:rPr>
          <w:rFonts w:ascii="Bookman Old Style" w:hAnsi="Bookman Old Style"/>
          <w:sz w:val="24"/>
        </w:rPr>
      </w:pPr>
      <w:r w:rsidRPr="00EC5C0F">
        <w:rPr>
          <w:rFonts w:ascii="Bookman Old Style" w:hAnsi="Bookman Old Style"/>
          <w:sz w:val="24"/>
        </w:rPr>
        <w:t xml:space="preserve">Le solde des fonds reportés au 1er avril 2022, depuis l'exercice clos le 31 mars 2022, est de US$ 44.435 (N$ 645.800,78). </w:t>
      </w:r>
    </w:p>
    <w:p w14:paraId="67DA7752" w14:textId="77777777" w:rsidR="00EC5C0F" w:rsidRPr="00EC5C0F" w:rsidRDefault="00EC5C0F" w:rsidP="00EC5C0F">
      <w:pPr>
        <w:pStyle w:val="ListParagraph"/>
        <w:ind w:left="1080" w:firstLine="0"/>
        <w:jc w:val="both"/>
        <w:rPr>
          <w:rFonts w:ascii="Bookman Old Style" w:eastAsia="Calibri" w:hAnsi="Bookman Old Style" w:cs="Arial"/>
          <w:bCs/>
          <w:sz w:val="24"/>
          <w:szCs w:val="24"/>
        </w:rPr>
      </w:pPr>
    </w:p>
    <w:p w14:paraId="0FED8370" w14:textId="282CBB28" w:rsidR="008C3C26" w:rsidRPr="00A64F7F" w:rsidRDefault="00F806F3" w:rsidP="008C3C26">
      <w:pPr>
        <w:spacing w:after="0" w:line="240" w:lineRule="auto"/>
        <w:ind w:left="960" w:hanging="960"/>
        <w:jc w:val="both"/>
        <w:rPr>
          <w:rFonts w:ascii="Bookman Old Style" w:eastAsia="Calibri" w:hAnsi="Bookman Old Style" w:cs="Arial"/>
          <w:bCs/>
          <w:sz w:val="24"/>
          <w:szCs w:val="24"/>
        </w:rPr>
      </w:pPr>
      <w:r>
        <w:rPr>
          <w:rFonts w:ascii="Bookman Old Style" w:hAnsi="Bookman Old Style"/>
          <w:sz w:val="24"/>
        </w:rPr>
        <w:t>3.3.3.2.</w:t>
      </w:r>
      <w:r>
        <w:rPr>
          <w:rFonts w:ascii="Bookman Old Style" w:hAnsi="Bookman Old Style"/>
          <w:sz w:val="24"/>
        </w:rPr>
        <w:tab/>
        <w:t xml:space="preserve">Les dépenses encourues du 1er avril 2022 au 30 septembre 2022 s'élèvent à US$ 29 560,75 (N$462 061,87), ce qui donne un solde de US$ 14 873,94 (N$183 738,91). Les dépenses ont été engagées pour les comités permanents FANR et TIFI. Les détails figurent dans le relevé de responsabilité du Fonds ci-dessous : </w:t>
      </w:r>
    </w:p>
    <w:p w14:paraId="1477B697" w14:textId="77777777" w:rsidR="00F85FC2" w:rsidRPr="00F55B99" w:rsidRDefault="00F85FC2" w:rsidP="008C3C26">
      <w:pPr>
        <w:spacing w:after="0" w:line="240" w:lineRule="auto"/>
        <w:jc w:val="both"/>
        <w:rPr>
          <w:rFonts w:ascii="Bookman Old Style" w:eastAsia="Calibri" w:hAnsi="Bookman Old Style" w:cs="Arial"/>
          <w:bCs/>
          <w:sz w:val="24"/>
          <w:szCs w:val="24"/>
          <w:lang w:bidi="en-US"/>
        </w:rPr>
      </w:pPr>
    </w:p>
    <w:tbl>
      <w:tblPr>
        <w:tblW w:w="7620" w:type="dxa"/>
        <w:tblInd w:w="851" w:type="dxa"/>
        <w:tblLook w:val="04A0" w:firstRow="1" w:lastRow="0" w:firstColumn="1" w:lastColumn="0" w:noHBand="0" w:noVBand="1"/>
      </w:tblPr>
      <w:tblGrid>
        <w:gridCol w:w="4494"/>
        <w:gridCol w:w="1743"/>
        <w:gridCol w:w="1383"/>
      </w:tblGrid>
      <w:tr w:rsidR="008C3C26" w:rsidRPr="00F85FC2" w14:paraId="3991C62D" w14:textId="77777777" w:rsidTr="00EC5C0F">
        <w:trPr>
          <w:trHeight w:val="312"/>
        </w:trPr>
        <w:tc>
          <w:tcPr>
            <w:tcW w:w="7620" w:type="dxa"/>
            <w:gridSpan w:val="3"/>
            <w:tcBorders>
              <w:top w:val="nil"/>
              <w:left w:val="nil"/>
              <w:bottom w:val="nil"/>
              <w:right w:val="nil"/>
            </w:tcBorders>
            <w:shd w:val="clear" w:color="auto" w:fill="auto"/>
            <w:noWrap/>
            <w:vAlign w:val="bottom"/>
            <w:hideMark/>
          </w:tcPr>
          <w:p w14:paraId="143E6ABE" w14:textId="42456734" w:rsidR="008C3C26" w:rsidRPr="00F85FC2" w:rsidRDefault="008C3C26" w:rsidP="00CC759F">
            <w:pPr>
              <w:spacing w:after="0" w:line="240" w:lineRule="auto"/>
              <w:rPr>
                <w:rFonts w:ascii="Bookman Old Style" w:eastAsia="Times New Roman" w:hAnsi="Bookman Old Style" w:cs="Arial"/>
                <w:b/>
                <w:bCs/>
              </w:rPr>
            </w:pPr>
            <w:r>
              <w:rPr>
                <w:rFonts w:ascii="Bookman Old Style" w:hAnsi="Bookman Old Style"/>
                <w:b/>
              </w:rPr>
              <w:t>RAPPORT FINANCIER - 1</w:t>
            </w:r>
            <w:r>
              <w:rPr>
                <w:rFonts w:ascii="Bookman Old Style" w:hAnsi="Bookman Old Style"/>
                <w:b/>
                <w:vertAlign w:val="superscript"/>
              </w:rPr>
              <w:t>ER</w:t>
            </w:r>
            <w:r>
              <w:rPr>
                <w:rFonts w:ascii="Bookman Old Style" w:hAnsi="Bookman Old Style"/>
                <w:b/>
              </w:rPr>
              <w:t xml:space="preserve"> AVRIL 2022 AU 30 SEPTEMBRE 2022</w:t>
            </w:r>
          </w:p>
        </w:tc>
      </w:tr>
      <w:tr w:rsidR="008C3C26" w:rsidRPr="00F85FC2" w14:paraId="7C031DCC" w14:textId="77777777" w:rsidTr="00EC5C0F">
        <w:trPr>
          <w:trHeight w:val="324"/>
        </w:trPr>
        <w:tc>
          <w:tcPr>
            <w:tcW w:w="4494" w:type="dxa"/>
            <w:tcBorders>
              <w:top w:val="nil"/>
              <w:left w:val="nil"/>
              <w:bottom w:val="nil"/>
              <w:right w:val="nil"/>
            </w:tcBorders>
            <w:shd w:val="clear" w:color="auto" w:fill="auto"/>
            <w:noWrap/>
            <w:vAlign w:val="bottom"/>
            <w:hideMark/>
          </w:tcPr>
          <w:p w14:paraId="286C8D4E" w14:textId="77777777" w:rsidR="008C3C26" w:rsidRPr="00F85FC2" w:rsidRDefault="008C3C26" w:rsidP="00CC759F">
            <w:pPr>
              <w:spacing w:after="0" w:line="240" w:lineRule="auto"/>
              <w:rPr>
                <w:rFonts w:ascii="Bookman Old Style" w:eastAsia="Times New Roman" w:hAnsi="Bookman Old Style" w:cs="Arial"/>
                <w:b/>
                <w:bCs/>
              </w:rPr>
            </w:pPr>
            <w:r>
              <w:rPr>
                <w:rFonts w:ascii="Bookman Old Style" w:hAnsi="Bookman Old Style"/>
                <w:b/>
              </w:rPr>
              <w:t xml:space="preserve"> </w:t>
            </w:r>
          </w:p>
        </w:tc>
        <w:tc>
          <w:tcPr>
            <w:tcW w:w="1743" w:type="dxa"/>
            <w:tcBorders>
              <w:top w:val="nil"/>
              <w:left w:val="nil"/>
              <w:bottom w:val="nil"/>
              <w:right w:val="nil"/>
            </w:tcBorders>
            <w:shd w:val="clear" w:color="auto" w:fill="auto"/>
            <w:noWrap/>
            <w:vAlign w:val="bottom"/>
            <w:hideMark/>
          </w:tcPr>
          <w:p w14:paraId="6775C4D2" w14:textId="77777777" w:rsidR="008C3C26" w:rsidRPr="00F55B99" w:rsidRDefault="008C3C26" w:rsidP="00CC759F">
            <w:pPr>
              <w:spacing w:after="0" w:line="240" w:lineRule="auto"/>
              <w:rPr>
                <w:rFonts w:ascii="Bookman Old Style" w:eastAsia="Times New Roman" w:hAnsi="Bookman Old Style" w:cs="Times New Roman"/>
              </w:rPr>
            </w:pPr>
          </w:p>
        </w:tc>
        <w:tc>
          <w:tcPr>
            <w:tcW w:w="1383" w:type="dxa"/>
            <w:tcBorders>
              <w:top w:val="nil"/>
              <w:left w:val="nil"/>
              <w:bottom w:val="nil"/>
              <w:right w:val="nil"/>
            </w:tcBorders>
            <w:shd w:val="clear" w:color="auto" w:fill="auto"/>
            <w:noWrap/>
            <w:vAlign w:val="bottom"/>
            <w:hideMark/>
          </w:tcPr>
          <w:p w14:paraId="2C0CA42D" w14:textId="77777777" w:rsidR="008C3C26" w:rsidRPr="00F55B99" w:rsidRDefault="008C3C26" w:rsidP="00CC759F">
            <w:pPr>
              <w:spacing w:after="0" w:line="240" w:lineRule="auto"/>
              <w:rPr>
                <w:rFonts w:ascii="Bookman Old Style" w:eastAsia="Times New Roman" w:hAnsi="Bookman Old Style" w:cs="Times New Roman"/>
              </w:rPr>
            </w:pPr>
          </w:p>
        </w:tc>
      </w:tr>
      <w:tr w:rsidR="008C3C26" w:rsidRPr="00F85FC2" w14:paraId="279DFED2" w14:textId="77777777" w:rsidTr="00EC5C0F">
        <w:trPr>
          <w:trHeight w:val="312"/>
        </w:trPr>
        <w:tc>
          <w:tcPr>
            <w:tcW w:w="4494" w:type="dxa"/>
            <w:tcBorders>
              <w:top w:val="single" w:sz="8" w:space="0" w:color="auto"/>
              <w:left w:val="single" w:sz="8" w:space="0" w:color="auto"/>
              <w:bottom w:val="nil"/>
              <w:right w:val="nil"/>
            </w:tcBorders>
            <w:shd w:val="clear" w:color="auto" w:fill="auto"/>
            <w:noWrap/>
            <w:vAlign w:val="bottom"/>
            <w:hideMark/>
          </w:tcPr>
          <w:p w14:paraId="1E9B17F1" w14:textId="77777777" w:rsidR="008C3C26" w:rsidRPr="00F85FC2" w:rsidRDefault="008C3C26" w:rsidP="00CC759F">
            <w:pPr>
              <w:spacing w:after="0" w:line="240" w:lineRule="auto"/>
              <w:rPr>
                <w:rFonts w:ascii="Bookman Old Style" w:eastAsia="Times New Roman" w:hAnsi="Bookman Old Style" w:cs="Arial"/>
                <w:b/>
                <w:bCs/>
              </w:rPr>
            </w:pPr>
            <w:r>
              <w:rPr>
                <w:rFonts w:ascii="Bookman Old Style" w:hAnsi="Bookman Old Style"/>
                <w:b/>
              </w:rPr>
              <w:t>Relevé de responsabilité du fonds</w:t>
            </w:r>
          </w:p>
        </w:tc>
        <w:tc>
          <w:tcPr>
            <w:tcW w:w="174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EF243B4" w14:textId="77777777" w:rsidR="008C3C26" w:rsidRPr="00F85FC2" w:rsidRDefault="008C3C26" w:rsidP="00CC759F">
            <w:pPr>
              <w:spacing w:after="0" w:line="240" w:lineRule="auto"/>
              <w:jc w:val="center"/>
              <w:rPr>
                <w:rFonts w:ascii="Bookman Old Style" w:eastAsia="Times New Roman" w:hAnsi="Bookman Old Style" w:cs="Calibri"/>
                <w:b/>
                <w:bCs/>
              </w:rPr>
            </w:pPr>
            <w:r>
              <w:rPr>
                <w:rFonts w:ascii="Bookman Old Style" w:hAnsi="Bookman Old Style"/>
                <w:b/>
              </w:rPr>
              <w:t>RÉEL</w:t>
            </w:r>
          </w:p>
        </w:tc>
        <w:tc>
          <w:tcPr>
            <w:tcW w:w="1383" w:type="dxa"/>
            <w:tcBorders>
              <w:top w:val="single" w:sz="8" w:space="0" w:color="auto"/>
              <w:left w:val="nil"/>
              <w:bottom w:val="single" w:sz="4" w:space="0" w:color="auto"/>
              <w:right w:val="single" w:sz="8" w:space="0" w:color="auto"/>
            </w:tcBorders>
            <w:shd w:val="clear" w:color="auto" w:fill="auto"/>
            <w:noWrap/>
            <w:vAlign w:val="bottom"/>
            <w:hideMark/>
          </w:tcPr>
          <w:p w14:paraId="6F1C3158" w14:textId="77777777" w:rsidR="008C3C26" w:rsidRPr="00F85FC2" w:rsidRDefault="008C3C26" w:rsidP="00CC759F">
            <w:pPr>
              <w:spacing w:after="0" w:line="240" w:lineRule="auto"/>
              <w:jc w:val="center"/>
              <w:rPr>
                <w:rFonts w:ascii="Bookman Old Style" w:eastAsia="Times New Roman" w:hAnsi="Bookman Old Style" w:cs="Calibri"/>
                <w:b/>
                <w:bCs/>
              </w:rPr>
            </w:pPr>
            <w:r>
              <w:rPr>
                <w:rFonts w:ascii="Bookman Old Style" w:hAnsi="Bookman Old Style"/>
                <w:b/>
              </w:rPr>
              <w:t>RÉEL</w:t>
            </w:r>
          </w:p>
        </w:tc>
      </w:tr>
      <w:tr w:rsidR="008C3C26" w:rsidRPr="00F85FC2" w14:paraId="79CB85F0" w14:textId="77777777" w:rsidTr="00EC5C0F">
        <w:trPr>
          <w:trHeight w:val="312"/>
        </w:trPr>
        <w:tc>
          <w:tcPr>
            <w:tcW w:w="4494" w:type="dxa"/>
            <w:tcBorders>
              <w:top w:val="single" w:sz="4" w:space="0" w:color="auto"/>
              <w:left w:val="single" w:sz="8" w:space="0" w:color="auto"/>
              <w:bottom w:val="single" w:sz="4" w:space="0" w:color="auto"/>
              <w:right w:val="nil"/>
            </w:tcBorders>
            <w:shd w:val="clear" w:color="auto" w:fill="auto"/>
            <w:noWrap/>
            <w:vAlign w:val="bottom"/>
            <w:hideMark/>
          </w:tcPr>
          <w:p w14:paraId="73458FE2"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 </w:t>
            </w:r>
          </w:p>
        </w:tc>
        <w:tc>
          <w:tcPr>
            <w:tcW w:w="1743" w:type="dxa"/>
            <w:tcBorders>
              <w:top w:val="nil"/>
              <w:left w:val="single" w:sz="4" w:space="0" w:color="auto"/>
              <w:bottom w:val="single" w:sz="4" w:space="0" w:color="auto"/>
              <w:right w:val="nil"/>
            </w:tcBorders>
            <w:shd w:val="clear" w:color="auto" w:fill="auto"/>
            <w:noWrap/>
            <w:vAlign w:val="bottom"/>
            <w:hideMark/>
          </w:tcPr>
          <w:p w14:paraId="4EADC9E3" w14:textId="77777777" w:rsidR="008C3C26" w:rsidRPr="00F85FC2" w:rsidRDefault="008C3C26" w:rsidP="00CC759F">
            <w:pPr>
              <w:spacing w:after="0" w:line="240" w:lineRule="auto"/>
              <w:jc w:val="center"/>
              <w:rPr>
                <w:rFonts w:ascii="Bookman Old Style" w:eastAsia="Times New Roman" w:hAnsi="Bookman Old Style" w:cs="Arial"/>
                <w:b/>
                <w:bCs/>
              </w:rPr>
            </w:pPr>
            <w:r>
              <w:rPr>
                <w:rFonts w:ascii="Bookman Old Style" w:hAnsi="Bookman Old Style"/>
                <w:b/>
              </w:rPr>
              <w:t xml:space="preserve"> N$ </w:t>
            </w:r>
          </w:p>
        </w:tc>
        <w:tc>
          <w:tcPr>
            <w:tcW w:w="1383" w:type="dxa"/>
            <w:tcBorders>
              <w:top w:val="nil"/>
              <w:left w:val="single" w:sz="4" w:space="0" w:color="auto"/>
              <w:bottom w:val="single" w:sz="4" w:space="0" w:color="auto"/>
              <w:right w:val="single" w:sz="8" w:space="0" w:color="auto"/>
            </w:tcBorders>
            <w:shd w:val="clear" w:color="auto" w:fill="auto"/>
            <w:noWrap/>
            <w:vAlign w:val="bottom"/>
            <w:hideMark/>
          </w:tcPr>
          <w:p w14:paraId="7C26DBCF" w14:textId="77777777" w:rsidR="008C3C26" w:rsidRPr="00F85FC2" w:rsidRDefault="008C3C26" w:rsidP="00CC759F">
            <w:pPr>
              <w:spacing w:after="0" w:line="240" w:lineRule="auto"/>
              <w:jc w:val="center"/>
              <w:rPr>
                <w:rFonts w:ascii="Bookman Old Style" w:eastAsia="Times New Roman" w:hAnsi="Bookman Old Style" w:cs="Arial"/>
                <w:b/>
                <w:bCs/>
              </w:rPr>
            </w:pPr>
            <w:r>
              <w:rPr>
                <w:rFonts w:ascii="Bookman Old Style" w:hAnsi="Bookman Old Style"/>
                <w:b/>
              </w:rPr>
              <w:t xml:space="preserve"> US$ </w:t>
            </w:r>
          </w:p>
        </w:tc>
      </w:tr>
      <w:tr w:rsidR="008C3C26" w:rsidRPr="00F85FC2" w14:paraId="563A93DE"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0FDE3E34" w14:textId="77777777" w:rsidR="008C3C26" w:rsidRPr="00F85FC2" w:rsidRDefault="008C3C26" w:rsidP="00CC759F">
            <w:pPr>
              <w:spacing w:after="0" w:line="240" w:lineRule="auto"/>
              <w:rPr>
                <w:rFonts w:ascii="Bookman Old Style" w:eastAsia="Times New Roman" w:hAnsi="Bookman Old Style" w:cs="Arial"/>
                <w:b/>
                <w:bCs/>
                <w:u w:val="single"/>
              </w:rPr>
            </w:pPr>
            <w:r>
              <w:rPr>
                <w:rFonts w:ascii="Bookman Old Style" w:hAnsi="Bookman Old Style"/>
                <w:b/>
                <w:u w:val="single"/>
              </w:rPr>
              <w:t>Recettes :</w:t>
            </w:r>
          </w:p>
        </w:tc>
        <w:tc>
          <w:tcPr>
            <w:tcW w:w="1743" w:type="dxa"/>
            <w:tcBorders>
              <w:top w:val="nil"/>
              <w:left w:val="single" w:sz="4" w:space="0" w:color="auto"/>
              <w:bottom w:val="nil"/>
              <w:right w:val="single" w:sz="4" w:space="0" w:color="auto"/>
            </w:tcBorders>
            <w:shd w:val="clear" w:color="auto" w:fill="auto"/>
            <w:noWrap/>
            <w:vAlign w:val="bottom"/>
            <w:hideMark/>
          </w:tcPr>
          <w:p w14:paraId="5C0507A9" w14:textId="77777777" w:rsidR="008C3C26" w:rsidRPr="00F85FC2" w:rsidRDefault="008C3C26" w:rsidP="00CC759F">
            <w:pPr>
              <w:spacing w:after="0" w:line="240" w:lineRule="auto"/>
              <w:rPr>
                <w:rFonts w:ascii="Bookman Old Style" w:eastAsia="Times New Roman" w:hAnsi="Bookman Old Style" w:cs="Calibri"/>
              </w:rPr>
            </w:pPr>
            <w:r>
              <w:rPr>
                <w:rFonts w:ascii="Bookman Old Style" w:hAnsi="Bookman Old Style"/>
              </w:rPr>
              <w:t> </w:t>
            </w:r>
          </w:p>
        </w:tc>
        <w:tc>
          <w:tcPr>
            <w:tcW w:w="1383" w:type="dxa"/>
            <w:tcBorders>
              <w:top w:val="nil"/>
              <w:left w:val="nil"/>
              <w:bottom w:val="nil"/>
              <w:right w:val="single" w:sz="8" w:space="0" w:color="auto"/>
            </w:tcBorders>
            <w:shd w:val="clear" w:color="auto" w:fill="auto"/>
            <w:noWrap/>
            <w:vAlign w:val="bottom"/>
            <w:hideMark/>
          </w:tcPr>
          <w:p w14:paraId="4803D621" w14:textId="77777777" w:rsidR="008C3C26" w:rsidRPr="00F85FC2" w:rsidRDefault="008C3C26" w:rsidP="00CC759F">
            <w:pPr>
              <w:spacing w:after="0" w:line="240" w:lineRule="auto"/>
              <w:rPr>
                <w:rFonts w:ascii="Bookman Old Style" w:eastAsia="Times New Roman" w:hAnsi="Bookman Old Style" w:cs="Calibri"/>
              </w:rPr>
            </w:pPr>
            <w:r>
              <w:rPr>
                <w:rFonts w:ascii="Bookman Old Style" w:hAnsi="Bookman Old Style"/>
              </w:rPr>
              <w:t> </w:t>
            </w:r>
          </w:p>
        </w:tc>
      </w:tr>
      <w:tr w:rsidR="008C3C26" w:rsidRPr="00F85FC2" w14:paraId="1043DC60"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20478A5C"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Solde reporté</w:t>
            </w:r>
          </w:p>
        </w:tc>
        <w:tc>
          <w:tcPr>
            <w:tcW w:w="1743" w:type="dxa"/>
            <w:tcBorders>
              <w:top w:val="nil"/>
              <w:left w:val="single" w:sz="4" w:space="0" w:color="auto"/>
              <w:bottom w:val="nil"/>
              <w:right w:val="single" w:sz="4" w:space="0" w:color="auto"/>
            </w:tcBorders>
            <w:shd w:val="clear" w:color="auto" w:fill="auto"/>
            <w:noWrap/>
            <w:vAlign w:val="bottom"/>
            <w:hideMark/>
          </w:tcPr>
          <w:p w14:paraId="7393B5AC"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645 800,78 </w:t>
            </w:r>
          </w:p>
        </w:tc>
        <w:tc>
          <w:tcPr>
            <w:tcW w:w="1383" w:type="dxa"/>
            <w:tcBorders>
              <w:top w:val="nil"/>
              <w:left w:val="nil"/>
              <w:bottom w:val="nil"/>
              <w:right w:val="single" w:sz="8" w:space="0" w:color="auto"/>
            </w:tcBorders>
            <w:shd w:val="clear" w:color="auto" w:fill="auto"/>
            <w:noWrap/>
            <w:vAlign w:val="bottom"/>
            <w:hideMark/>
          </w:tcPr>
          <w:p w14:paraId="04AD87EA"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   44434,69 </w:t>
            </w:r>
          </w:p>
        </w:tc>
      </w:tr>
      <w:tr w:rsidR="008C3C26" w:rsidRPr="00F85FC2" w14:paraId="71BC4A66"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166A037A"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Fonds reçus</w:t>
            </w:r>
          </w:p>
        </w:tc>
        <w:tc>
          <w:tcPr>
            <w:tcW w:w="1743" w:type="dxa"/>
            <w:tcBorders>
              <w:top w:val="nil"/>
              <w:left w:val="single" w:sz="4" w:space="0" w:color="auto"/>
              <w:bottom w:val="nil"/>
              <w:right w:val="single" w:sz="4" w:space="0" w:color="auto"/>
            </w:tcBorders>
            <w:shd w:val="clear" w:color="auto" w:fill="auto"/>
            <w:noWrap/>
            <w:vAlign w:val="bottom"/>
            <w:hideMark/>
          </w:tcPr>
          <w:p w14:paraId="7C14266D" w14:textId="316E3128" w:rsidR="008C3C26" w:rsidRPr="00F85FC2" w:rsidRDefault="009A2CCC" w:rsidP="00EC5C0F">
            <w:pPr>
              <w:spacing w:after="0" w:line="240" w:lineRule="auto"/>
              <w:jc w:val="right"/>
              <w:rPr>
                <w:rFonts w:ascii="Bookman Old Style" w:eastAsia="Times New Roman" w:hAnsi="Bookman Old Style" w:cs="Arial"/>
              </w:rPr>
            </w:pPr>
            <w:r>
              <w:rPr>
                <w:rFonts w:ascii="Bookman Old Style" w:hAnsi="Bookman Old Style"/>
              </w:rPr>
              <w:t xml:space="preserve">           0,00</w:t>
            </w:r>
          </w:p>
        </w:tc>
        <w:tc>
          <w:tcPr>
            <w:tcW w:w="1383" w:type="dxa"/>
            <w:tcBorders>
              <w:top w:val="nil"/>
              <w:left w:val="nil"/>
              <w:bottom w:val="nil"/>
              <w:right w:val="single" w:sz="8" w:space="0" w:color="auto"/>
            </w:tcBorders>
            <w:shd w:val="clear" w:color="auto" w:fill="auto"/>
            <w:noWrap/>
            <w:vAlign w:val="bottom"/>
            <w:hideMark/>
          </w:tcPr>
          <w:p w14:paraId="2C130BE6" w14:textId="6DA4ADB1"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         0,00 </w:t>
            </w:r>
          </w:p>
        </w:tc>
      </w:tr>
      <w:tr w:rsidR="008C3C26" w:rsidRPr="00F85FC2" w14:paraId="40D41A6B" w14:textId="77777777" w:rsidTr="00EC5C0F">
        <w:trPr>
          <w:trHeight w:val="312"/>
        </w:trPr>
        <w:tc>
          <w:tcPr>
            <w:tcW w:w="4494" w:type="dxa"/>
            <w:tcBorders>
              <w:top w:val="single" w:sz="4" w:space="0" w:color="auto"/>
              <w:left w:val="single" w:sz="8" w:space="0" w:color="auto"/>
              <w:bottom w:val="single" w:sz="4" w:space="0" w:color="auto"/>
              <w:right w:val="nil"/>
            </w:tcBorders>
            <w:shd w:val="clear" w:color="auto" w:fill="auto"/>
            <w:noWrap/>
            <w:vAlign w:val="bottom"/>
            <w:hideMark/>
          </w:tcPr>
          <w:p w14:paraId="5F7F0EB5"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Total des recettes</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42613"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645 800,78</w:t>
            </w:r>
          </w:p>
        </w:tc>
        <w:tc>
          <w:tcPr>
            <w:tcW w:w="1383" w:type="dxa"/>
            <w:tcBorders>
              <w:top w:val="single" w:sz="4" w:space="0" w:color="auto"/>
              <w:left w:val="nil"/>
              <w:bottom w:val="single" w:sz="4" w:space="0" w:color="auto"/>
              <w:right w:val="single" w:sz="8" w:space="0" w:color="auto"/>
            </w:tcBorders>
            <w:shd w:val="clear" w:color="auto" w:fill="auto"/>
            <w:noWrap/>
            <w:vAlign w:val="bottom"/>
          </w:tcPr>
          <w:p w14:paraId="25156518"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44434,69</w:t>
            </w:r>
          </w:p>
        </w:tc>
      </w:tr>
      <w:tr w:rsidR="008C3C26" w:rsidRPr="00F85FC2" w14:paraId="608D3C6D"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24064667"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 </w:t>
            </w:r>
          </w:p>
        </w:tc>
        <w:tc>
          <w:tcPr>
            <w:tcW w:w="1743" w:type="dxa"/>
            <w:tcBorders>
              <w:top w:val="nil"/>
              <w:left w:val="single" w:sz="4" w:space="0" w:color="auto"/>
              <w:bottom w:val="nil"/>
              <w:right w:val="single" w:sz="4" w:space="0" w:color="auto"/>
            </w:tcBorders>
            <w:shd w:val="clear" w:color="auto" w:fill="auto"/>
            <w:noWrap/>
            <w:vAlign w:val="bottom"/>
            <w:hideMark/>
          </w:tcPr>
          <w:p w14:paraId="1FC7947E"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w:t>
            </w:r>
          </w:p>
        </w:tc>
        <w:tc>
          <w:tcPr>
            <w:tcW w:w="1383" w:type="dxa"/>
            <w:tcBorders>
              <w:top w:val="nil"/>
              <w:left w:val="nil"/>
              <w:bottom w:val="nil"/>
              <w:right w:val="single" w:sz="8" w:space="0" w:color="auto"/>
            </w:tcBorders>
            <w:shd w:val="clear" w:color="auto" w:fill="auto"/>
            <w:noWrap/>
            <w:vAlign w:val="bottom"/>
            <w:hideMark/>
          </w:tcPr>
          <w:p w14:paraId="46986CA8"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w:t>
            </w:r>
          </w:p>
        </w:tc>
      </w:tr>
      <w:tr w:rsidR="008C3C26" w:rsidRPr="00F85FC2" w14:paraId="42E74606"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255401CF" w14:textId="77777777" w:rsidR="008C3C26" w:rsidRPr="00F85FC2" w:rsidRDefault="008C3C26" w:rsidP="00CC759F">
            <w:pPr>
              <w:spacing w:after="0" w:line="240" w:lineRule="auto"/>
              <w:rPr>
                <w:rFonts w:ascii="Bookman Old Style" w:eastAsia="Times New Roman" w:hAnsi="Bookman Old Style" w:cs="Arial"/>
                <w:b/>
                <w:bCs/>
                <w:u w:val="single"/>
              </w:rPr>
            </w:pPr>
            <w:proofErr w:type="gramStart"/>
            <w:r>
              <w:rPr>
                <w:rFonts w:ascii="Bookman Old Style" w:hAnsi="Bookman Old Style"/>
                <w:b/>
                <w:u w:val="single"/>
              </w:rPr>
              <w:t>Dépenses:</w:t>
            </w:r>
            <w:proofErr w:type="gramEnd"/>
          </w:p>
        </w:tc>
        <w:tc>
          <w:tcPr>
            <w:tcW w:w="1743" w:type="dxa"/>
            <w:tcBorders>
              <w:top w:val="nil"/>
              <w:left w:val="single" w:sz="4" w:space="0" w:color="auto"/>
              <w:bottom w:val="nil"/>
              <w:right w:val="single" w:sz="4" w:space="0" w:color="auto"/>
            </w:tcBorders>
            <w:shd w:val="clear" w:color="auto" w:fill="auto"/>
            <w:noWrap/>
            <w:vAlign w:val="bottom"/>
            <w:hideMark/>
          </w:tcPr>
          <w:p w14:paraId="22D61E5E"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w:t>
            </w:r>
          </w:p>
        </w:tc>
        <w:tc>
          <w:tcPr>
            <w:tcW w:w="1383" w:type="dxa"/>
            <w:tcBorders>
              <w:top w:val="nil"/>
              <w:left w:val="nil"/>
              <w:bottom w:val="nil"/>
              <w:right w:val="single" w:sz="8" w:space="0" w:color="auto"/>
            </w:tcBorders>
            <w:shd w:val="clear" w:color="auto" w:fill="auto"/>
            <w:noWrap/>
            <w:vAlign w:val="bottom"/>
            <w:hideMark/>
          </w:tcPr>
          <w:p w14:paraId="0B57D085"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w:t>
            </w:r>
          </w:p>
        </w:tc>
      </w:tr>
      <w:tr w:rsidR="008C3C26" w:rsidRPr="00F85FC2" w14:paraId="689FC834"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3D762780"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Coûts contractuels</w:t>
            </w:r>
          </w:p>
        </w:tc>
        <w:tc>
          <w:tcPr>
            <w:tcW w:w="1743" w:type="dxa"/>
            <w:tcBorders>
              <w:top w:val="nil"/>
              <w:left w:val="single" w:sz="4" w:space="0" w:color="auto"/>
              <w:bottom w:val="nil"/>
              <w:right w:val="single" w:sz="4" w:space="0" w:color="auto"/>
            </w:tcBorders>
            <w:shd w:val="clear" w:color="auto" w:fill="auto"/>
            <w:noWrap/>
            <w:vAlign w:val="bottom"/>
          </w:tcPr>
          <w:p w14:paraId="78D632BD" w14:textId="0DF48E7E" w:rsidR="008C3C26" w:rsidRPr="00F85FC2" w:rsidRDefault="00F806F3" w:rsidP="00EC5C0F">
            <w:pPr>
              <w:spacing w:after="0" w:line="240" w:lineRule="auto"/>
              <w:jc w:val="right"/>
              <w:rPr>
                <w:rFonts w:ascii="Bookman Old Style" w:eastAsia="Times New Roman" w:hAnsi="Bookman Old Style" w:cs="Arial"/>
              </w:rPr>
            </w:pPr>
            <w:r>
              <w:rPr>
                <w:rFonts w:ascii="Bookman Old Style" w:hAnsi="Bookman Old Style"/>
              </w:rPr>
              <w:t xml:space="preserve">  9 409,14</w:t>
            </w:r>
          </w:p>
        </w:tc>
        <w:tc>
          <w:tcPr>
            <w:tcW w:w="1383" w:type="dxa"/>
            <w:tcBorders>
              <w:top w:val="nil"/>
              <w:left w:val="nil"/>
              <w:bottom w:val="nil"/>
              <w:right w:val="single" w:sz="8" w:space="0" w:color="auto"/>
            </w:tcBorders>
            <w:shd w:val="clear" w:color="auto" w:fill="auto"/>
            <w:noWrap/>
            <w:vAlign w:val="bottom"/>
            <w:hideMark/>
          </w:tcPr>
          <w:p w14:paraId="4C656350" w14:textId="7A1B5B25" w:rsidR="008C3C26" w:rsidRPr="00F85FC2" w:rsidRDefault="00F806F3" w:rsidP="00EC5C0F">
            <w:pPr>
              <w:spacing w:after="0" w:line="240" w:lineRule="auto"/>
              <w:jc w:val="right"/>
              <w:rPr>
                <w:rFonts w:ascii="Bookman Old Style" w:eastAsia="Times New Roman" w:hAnsi="Bookman Old Style" w:cs="Arial"/>
              </w:rPr>
            </w:pPr>
            <w:r>
              <w:rPr>
                <w:rFonts w:ascii="Bookman Old Style" w:hAnsi="Bookman Old Style"/>
              </w:rPr>
              <w:t xml:space="preserve">  600,00 </w:t>
            </w:r>
          </w:p>
        </w:tc>
      </w:tr>
      <w:tr w:rsidR="008C3C26" w:rsidRPr="00F85FC2" w14:paraId="3743693F"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54D0726B"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Interprétation</w:t>
            </w:r>
          </w:p>
        </w:tc>
        <w:tc>
          <w:tcPr>
            <w:tcW w:w="1743" w:type="dxa"/>
            <w:tcBorders>
              <w:top w:val="nil"/>
              <w:left w:val="single" w:sz="4" w:space="0" w:color="auto"/>
              <w:bottom w:val="nil"/>
              <w:right w:val="single" w:sz="4" w:space="0" w:color="auto"/>
            </w:tcBorders>
            <w:shd w:val="clear" w:color="auto" w:fill="auto"/>
            <w:noWrap/>
            <w:vAlign w:val="bottom"/>
          </w:tcPr>
          <w:p w14:paraId="5BC2528E"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52 513,30</w:t>
            </w:r>
          </w:p>
        </w:tc>
        <w:tc>
          <w:tcPr>
            <w:tcW w:w="1383" w:type="dxa"/>
            <w:tcBorders>
              <w:top w:val="nil"/>
              <w:left w:val="nil"/>
              <w:bottom w:val="nil"/>
              <w:right w:val="single" w:sz="8" w:space="0" w:color="auto"/>
            </w:tcBorders>
            <w:shd w:val="clear" w:color="auto" w:fill="auto"/>
            <w:noWrap/>
            <w:vAlign w:val="bottom"/>
            <w:hideMark/>
          </w:tcPr>
          <w:p w14:paraId="48E5E9B4" w14:textId="663EFF08" w:rsidR="008C3C26" w:rsidRPr="00F85FC2" w:rsidRDefault="009A2CCC" w:rsidP="00EC5C0F">
            <w:pPr>
              <w:spacing w:after="0" w:line="240" w:lineRule="auto"/>
              <w:jc w:val="right"/>
              <w:rPr>
                <w:rFonts w:ascii="Bookman Old Style" w:eastAsia="Times New Roman" w:hAnsi="Bookman Old Style" w:cs="Arial"/>
              </w:rPr>
            </w:pPr>
            <w:r>
              <w:rPr>
                <w:rFonts w:ascii="Bookman Old Style" w:hAnsi="Bookman Old Style"/>
              </w:rPr>
              <w:t xml:space="preserve"> 3318,75 </w:t>
            </w:r>
          </w:p>
        </w:tc>
      </w:tr>
      <w:tr w:rsidR="008C3C26" w:rsidRPr="00F85FC2" w14:paraId="6300F211"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30295AF9"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Traduction</w:t>
            </w:r>
          </w:p>
        </w:tc>
        <w:tc>
          <w:tcPr>
            <w:tcW w:w="1743" w:type="dxa"/>
            <w:tcBorders>
              <w:top w:val="nil"/>
              <w:left w:val="single" w:sz="4" w:space="0" w:color="auto"/>
              <w:bottom w:val="nil"/>
              <w:right w:val="single" w:sz="4" w:space="0" w:color="auto"/>
            </w:tcBorders>
            <w:shd w:val="clear" w:color="auto" w:fill="auto"/>
            <w:noWrap/>
            <w:vAlign w:val="bottom"/>
          </w:tcPr>
          <w:p w14:paraId="3D93C811" w14:textId="1492B8B0" w:rsidR="008C3C26" w:rsidRPr="00F85FC2" w:rsidRDefault="009A2CCC" w:rsidP="00EC5C0F">
            <w:pPr>
              <w:spacing w:after="0" w:line="240" w:lineRule="auto"/>
              <w:jc w:val="right"/>
              <w:rPr>
                <w:rFonts w:ascii="Bookman Old Style" w:eastAsia="Times New Roman" w:hAnsi="Bookman Old Style" w:cs="Arial"/>
              </w:rPr>
            </w:pPr>
            <w:r>
              <w:rPr>
                <w:rFonts w:ascii="Bookman Old Style" w:hAnsi="Bookman Old Style"/>
              </w:rPr>
              <w:t xml:space="preserve">         0,00</w:t>
            </w:r>
          </w:p>
        </w:tc>
        <w:tc>
          <w:tcPr>
            <w:tcW w:w="1383" w:type="dxa"/>
            <w:tcBorders>
              <w:top w:val="nil"/>
              <w:left w:val="nil"/>
              <w:bottom w:val="nil"/>
              <w:right w:val="single" w:sz="8" w:space="0" w:color="auto"/>
            </w:tcBorders>
            <w:shd w:val="clear" w:color="auto" w:fill="auto"/>
            <w:noWrap/>
            <w:vAlign w:val="bottom"/>
            <w:hideMark/>
          </w:tcPr>
          <w:p w14:paraId="696F0432" w14:textId="38DBE0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       0,00 </w:t>
            </w:r>
          </w:p>
        </w:tc>
      </w:tr>
      <w:tr w:rsidR="008C3C26" w:rsidRPr="00F85FC2" w14:paraId="05DAA1F8"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36535257"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Autre</w:t>
            </w:r>
          </w:p>
        </w:tc>
        <w:tc>
          <w:tcPr>
            <w:tcW w:w="1743" w:type="dxa"/>
            <w:tcBorders>
              <w:top w:val="nil"/>
              <w:left w:val="single" w:sz="4" w:space="0" w:color="auto"/>
              <w:bottom w:val="nil"/>
              <w:right w:val="single" w:sz="4" w:space="0" w:color="auto"/>
            </w:tcBorders>
            <w:shd w:val="clear" w:color="auto" w:fill="auto"/>
            <w:noWrap/>
            <w:vAlign w:val="bottom"/>
          </w:tcPr>
          <w:p w14:paraId="358A971E"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400 139,43</w:t>
            </w:r>
          </w:p>
        </w:tc>
        <w:tc>
          <w:tcPr>
            <w:tcW w:w="1383" w:type="dxa"/>
            <w:tcBorders>
              <w:top w:val="nil"/>
              <w:left w:val="nil"/>
              <w:bottom w:val="nil"/>
              <w:right w:val="single" w:sz="8" w:space="0" w:color="auto"/>
            </w:tcBorders>
            <w:shd w:val="clear" w:color="auto" w:fill="auto"/>
            <w:noWrap/>
            <w:vAlign w:val="bottom"/>
            <w:hideMark/>
          </w:tcPr>
          <w:p w14:paraId="20D426A1"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25642,00</w:t>
            </w:r>
          </w:p>
        </w:tc>
      </w:tr>
      <w:tr w:rsidR="008C3C26" w:rsidRPr="00F85FC2" w14:paraId="415CEA5A" w14:textId="77777777" w:rsidTr="00EC5C0F">
        <w:trPr>
          <w:trHeight w:val="312"/>
        </w:trPr>
        <w:tc>
          <w:tcPr>
            <w:tcW w:w="4494" w:type="dxa"/>
            <w:tcBorders>
              <w:top w:val="nil"/>
              <w:left w:val="single" w:sz="8" w:space="0" w:color="auto"/>
              <w:bottom w:val="nil"/>
              <w:right w:val="nil"/>
            </w:tcBorders>
            <w:shd w:val="clear" w:color="auto" w:fill="auto"/>
            <w:noWrap/>
            <w:vAlign w:val="bottom"/>
            <w:hideMark/>
          </w:tcPr>
          <w:p w14:paraId="2F845267"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Frais administratifs</w:t>
            </w:r>
          </w:p>
        </w:tc>
        <w:tc>
          <w:tcPr>
            <w:tcW w:w="1743" w:type="dxa"/>
            <w:tcBorders>
              <w:top w:val="nil"/>
              <w:left w:val="single" w:sz="4" w:space="0" w:color="auto"/>
              <w:bottom w:val="nil"/>
              <w:right w:val="single" w:sz="4" w:space="0" w:color="auto"/>
            </w:tcBorders>
            <w:shd w:val="clear" w:color="auto" w:fill="auto"/>
            <w:noWrap/>
            <w:vAlign w:val="bottom"/>
            <w:hideMark/>
          </w:tcPr>
          <w:p w14:paraId="025A12D0"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               </w:t>
            </w:r>
            <w:r>
              <w:rPr>
                <w:rFonts w:ascii="Bookman Old Style" w:hAnsi="Bookman Old Style"/>
                <w:b/>
                <w:bCs/>
              </w:rPr>
              <w:t>-</w:t>
            </w:r>
            <w:r>
              <w:rPr>
                <w:rFonts w:ascii="Bookman Old Style" w:hAnsi="Bookman Old Style"/>
              </w:rPr>
              <w:t xml:space="preserve">   </w:t>
            </w:r>
          </w:p>
        </w:tc>
        <w:tc>
          <w:tcPr>
            <w:tcW w:w="1383" w:type="dxa"/>
            <w:tcBorders>
              <w:top w:val="nil"/>
              <w:left w:val="nil"/>
              <w:bottom w:val="nil"/>
              <w:right w:val="single" w:sz="8" w:space="0" w:color="auto"/>
            </w:tcBorders>
            <w:shd w:val="clear" w:color="auto" w:fill="auto"/>
            <w:noWrap/>
            <w:vAlign w:val="bottom"/>
            <w:hideMark/>
          </w:tcPr>
          <w:p w14:paraId="54905D6C"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             </w:t>
            </w:r>
            <w:r>
              <w:rPr>
                <w:rFonts w:ascii="Bookman Old Style" w:hAnsi="Bookman Old Style"/>
                <w:b/>
                <w:bCs/>
              </w:rPr>
              <w:t>-</w:t>
            </w:r>
            <w:r>
              <w:rPr>
                <w:rFonts w:ascii="Bookman Old Style" w:hAnsi="Bookman Old Style"/>
              </w:rPr>
              <w:t xml:space="preserve">   </w:t>
            </w:r>
          </w:p>
        </w:tc>
      </w:tr>
      <w:tr w:rsidR="008C3C26" w:rsidRPr="00F85FC2" w14:paraId="41963703" w14:textId="77777777" w:rsidTr="00EC5C0F">
        <w:trPr>
          <w:trHeight w:val="312"/>
        </w:trPr>
        <w:tc>
          <w:tcPr>
            <w:tcW w:w="4494" w:type="dxa"/>
            <w:tcBorders>
              <w:top w:val="single" w:sz="4" w:space="0" w:color="auto"/>
              <w:left w:val="single" w:sz="8" w:space="0" w:color="auto"/>
              <w:bottom w:val="single" w:sz="4" w:space="0" w:color="auto"/>
              <w:right w:val="nil"/>
            </w:tcBorders>
            <w:shd w:val="clear" w:color="auto" w:fill="auto"/>
            <w:noWrap/>
            <w:vAlign w:val="bottom"/>
            <w:hideMark/>
          </w:tcPr>
          <w:p w14:paraId="249761AD" w14:textId="77777777" w:rsidR="008C3C26" w:rsidRPr="00F85FC2" w:rsidRDefault="008C3C26" w:rsidP="00CC759F">
            <w:pPr>
              <w:spacing w:after="0" w:line="240" w:lineRule="auto"/>
              <w:rPr>
                <w:rFonts w:ascii="Bookman Old Style" w:eastAsia="Times New Roman" w:hAnsi="Bookman Old Style" w:cs="Arial"/>
              </w:rPr>
            </w:pPr>
            <w:r>
              <w:rPr>
                <w:rFonts w:ascii="Bookman Old Style" w:hAnsi="Bookman Old Style"/>
              </w:rPr>
              <w:t>Total des dépenses</w:t>
            </w:r>
          </w:p>
        </w:tc>
        <w:tc>
          <w:tcPr>
            <w:tcW w:w="1743" w:type="dxa"/>
            <w:tcBorders>
              <w:top w:val="single" w:sz="4" w:space="0" w:color="auto"/>
              <w:left w:val="single" w:sz="4" w:space="0" w:color="auto"/>
              <w:bottom w:val="single" w:sz="4" w:space="0" w:color="auto"/>
              <w:right w:val="nil"/>
            </w:tcBorders>
            <w:shd w:val="clear" w:color="auto" w:fill="auto"/>
            <w:noWrap/>
            <w:vAlign w:val="bottom"/>
            <w:hideMark/>
          </w:tcPr>
          <w:p w14:paraId="5E8B01A9"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 xml:space="preserve">462 061,87 </w:t>
            </w:r>
          </w:p>
        </w:tc>
        <w:tc>
          <w:tcPr>
            <w:tcW w:w="138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5CBAC1B" w14:textId="77777777" w:rsidR="008C3C26" w:rsidRPr="00F85FC2" w:rsidRDefault="008C3C26" w:rsidP="00EC5C0F">
            <w:pPr>
              <w:spacing w:after="0" w:line="240" w:lineRule="auto"/>
              <w:jc w:val="right"/>
              <w:rPr>
                <w:rFonts w:ascii="Bookman Old Style" w:eastAsia="Times New Roman" w:hAnsi="Bookman Old Style" w:cs="Arial"/>
              </w:rPr>
            </w:pPr>
            <w:r>
              <w:rPr>
                <w:rFonts w:ascii="Bookman Old Style" w:hAnsi="Bookman Old Style"/>
              </w:rPr>
              <w:t>29560,75</w:t>
            </w:r>
          </w:p>
        </w:tc>
      </w:tr>
      <w:tr w:rsidR="008C3C26" w:rsidRPr="00F85FC2" w14:paraId="763D7ADB" w14:textId="77777777" w:rsidTr="00EC5C0F">
        <w:trPr>
          <w:trHeight w:val="324"/>
        </w:trPr>
        <w:tc>
          <w:tcPr>
            <w:tcW w:w="4494" w:type="dxa"/>
            <w:tcBorders>
              <w:top w:val="single" w:sz="4" w:space="0" w:color="auto"/>
              <w:left w:val="single" w:sz="8" w:space="0" w:color="auto"/>
              <w:bottom w:val="single" w:sz="8" w:space="0" w:color="auto"/>
              <w:right w:val="nil"/>
            </w:tcBorders>
            <w:shd w:val="clear" w:color="auto" w:fill="auto"/>
            <w:noWrap/>
            <w:vAlign w:val="bottom"/>
            <w:hideMark/>
          </w:tcPr>
          <w:p w14:paraId="1ED38DEC" w14:textId="5F555F57" w:rsidR="008C3C26" w:rsidRPr="00F85FC2" w:rsidRDefault="00F806F3" w:rsidP="00CC759F">
            <w:pPr>
              <w:spacing w:after="0" w:line="240" w:lineRule="auto"/>
              <w:rPr>
                <w:rFonts w:ascii="Bookman Old Style" w:eastAsia="Times New Roman" w:hAnsi="Bookman Old Style" w:cs="Arial"/>
                <w:b/>
                <w:bCs/>
              </w:rPr>
            </w:pPr>
            <w:r>
              <w:rPr>
                <w:rFonts w:ascii="Bookman Old Style" w:hAnsi="Bookman Old Style"/>
                <w:b/>
              </w:rPr>
              <w:t>Excédent des recettes sur les dépenses</w:t>
            </w:r>
          </w:p>
        </w:tc>
        <w:tc>
          <w:tcPr>
            <w:tcW w:w="17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4F85992" w14:textId="77777777" w:rsidR="008C3C26" w:rsidRPr="00F85FC2" w:rsidRDefault="008C3C26" w:rsidP="00EC5C0F">
            <w:pPr>
              <w:spacing w:after="0" w:line="240" w:lineRule="auto"/>
              <w:jc w:val="right"/>
              <w:rPr>
                <w:rFonts w:ascii="Bookman Old Style" w:eastAsia="Times New Roman" w:hAnsi="Bookman Old Style" w:cs="Arial"/>
                <w:b/>
                <w:bCs/>
              </w:rPr>
            </w:pPr>
            <w:r>
              <w:rPr>
                <w:rFonts w:ascii="Bookman Old Style" w:hAnsi="Bookman Old Style"/>
                <w:b/>
              </w:rPr>
              <w:t xml:space="preserve"> 183738,91 </w:t>
            </w:r>
          </w:p>
        </w:tc>
        <w:tc>
          <w:tcPr>
            <w:tcW w:w="1383" w:type="dxa"/>
            <w:tcBorders>
              <w:top w:val="single" w:sz="4" w:space="0" w:color="auto"/>
              <w:left w:val="nil"/>
              <w:bottom w:val="single" w:sz="8" w:space="0" w:color="auto"/>
              <w:right w:val="single" w:sz="8" w:space="0" w:color="auto"/>
            </w:tcBorders>
            <w:shd w:val="clear" w:color="auto" w:fill="auto"/>
            <w:noWrap/>
            <w:vAlign w:val="bottom"/>
            <w:hideMark/>
          </w:tcPr>
          <w:p w14:paraId="369110C7" w14:textId="77777777" w:rsidR="008C3C26" w:rsidRPr="00F85FC2" w:rsidRDefault="008C3C26" w:rsidP="00EC5C0F">
            <w:pPr>
              <w:spacing w:after="0" w:line="240" w:lineRule="auto"/>
              <w:jc w:val="right"/>
              <w:rPr>
                <w:rFonts w:ascii="Bookman Old Style" w:eastAsia="Times New Roman" w:hAnsi="Bookman Old Style" w:cs="Arial"/>
                <w:b/>
                <w:bCs/>
              </w:rPr>
            </w:pPr>
            <w:r>
              <w:rPr>
                <w:rFonts w:ascii="Bookman Old Style" w:hAnsi="Bookman Old Style"/>
                <w:b/>
              </w:rPr>
              <w:t xml:space="preserve"> </w:t>
            </w:r>
            <w:r>
              <w:rPr>
                <w:rFonts w:ascii="Bookman Old Style" w:hAnsi="Bookman Old Style"/>
              </w:rPr>
              <w:t>14 873,94</w:t>
            </w:r>
            <w:r>
              <w:rPr>
                <w:rFonts w:ascii="Bookman Old Style" w:hAnsi="Bookman Old Style"/>
                <w:b/>
              </w:rPr>
              <w:t xml:space="preserve"> </w:t>
            </w:r>
          </w:p>
        </w:tc>
      </w:tr>
    </w:tbl>
    <w:p w14:paraId="2F9F1839" w14:textId="77777777" w:rsidR="008C3C26" w:rsidRPr="00A64F7F" w:rsidRDefault="008C3C26" w:rsidP="008C3C26">
      <w:pPr>
        <w:spacing w:after="0" w:line="240" w:lineRule="auto"/>
        <w:jc w:val="both"/>
        <w:rPr>
          <w:rFonts w:ascii="Bookman Old Style" w:eastAsia="Calibri" w:hAnsi="Bookman Old Style" w:cs="Arial"/>
          <w:b/>
          <w:sz w:val="24"/>
          <w:szCs w:val="24"/>
          <w:lang w:val="en-GB" w:bidi="en-US"/>
        </w:rPr>
      </w:pPr>
    </w:p>
    <w:p w14:paraId="5E52C4B0" w14:textId="77777777" w:rsidR="008C3C26" w:rsidRPr="00A64F7F" w:rsidRDefault="008C3C26" w:rsidP="008921AA">
      <w:pPr>
        <w:numPr>
          <w:ilvl w:val="1"/>
          <w:numId w:val="37"/>
        </w:numPr>
        <w:spacing w:after="0" w:line="240" w:lineRule="auto"/>
        <w:contextualSpacing/>
        <w:jc w:val="both"/>
        <w:rPr>
          <w:rFonts w:ascii="Bookman Old Style" w:eastAsia="Calibri" w:hAnsi="Bookman Old Style" w:cs="Arial"/>
          <w:b/>
          <w:sz w:val="24"/>
          <w:szCs w:val="24"/>
        </w:rPr>
      </w:pPr>
      <w:bookmarkStart w:id="26" w:name="_Hlk85391092"/>
      <w:r>
        <w:rPr>
          <w:rFonts w:ascii="Bookman Old Style" w:hAnsi="Bookman Old Style"/>
          <w:b/>
          <w:sz w:val="24"/>
        </w:rPr>
        <w:lastRenderedPageBreak/>
        <w:t>SAFAIDS, PLAN INTERNATIONAL, SADC, ONUSIDA, FNUAP, ONUDC, ARASA : ÉLABORATION D'UNE LOI TYPE SUR LA VIOLENCE BASÉE SUR LE GENRE (VBG)</w:t>
      </w:r>
    </w:p>
    <w:p w14:paraId="28507113" w14:textId="77777777" w:rsidR="008C3C26" w:rsidRPr="00F55B99" w:rsidRDefault="008C3C26" w:rsidP="008C3C26">
      <w:pPr>
        <w:spacing w:after="0" w:line="240" w:lineRule="auto"/>
        <w:jc w:val="both"/>
        <w:rPr>
          <w:rFonts w:ascii="Bookman Old Style" w:eastAsia="Calibri" w:hAnsi="Bookman Old Style" w:cs="Arial"/>
          <w:b/>
          <w:sz w:val="24"/>
          <w:szCs w:val="24"/>
          <w:lang w:bidi="en-US"/>
        </w:rPr>
      </w:pPr>
    </w:p>
    <w:bookmarkEnd w:id="26"/>
    <w:p w14:paraId="310EB747" w14:textId="77777777" w:rsidR="008C3C26" w:rsidRPr="00A64F7F" w:rsidRDefault="008C3C26" w:rsidP="008921AA">
      <w:pPr>
        <w:numPr>
          <w:ilvl w:val="2"/>
          <w:numId w:val="37"/>
        </w:numPr>
        <w:spacing w:after="0" w:line="240" w:lineRule="auto"/>
        <w:contextualSpacing/>
        <w:jc w:val="both"/>
        <w:rPr>
          <w:rFonts w:ascii="Bookman Old Style" w:eastAsia="Calibri" w:hAnsi="Bookman Old Style" w:cs="Arial"/>
          <w:b/>
          <w:sz w:val="24"/>
          <w:szCs w:val="24"/>
        </w:rPr>
      </w:pPr>
      <w:r>
        <w:rPr>
          <w:rFonts w:ascii="Bookman Old Style" w:hAnsi="Bookman Old Style"/>
          <w:sz w:val="24"/>
        </w:rPr>
        <w:t>L'élaboration de la loi type sur la violence basée sur le genre est en cours. À cet égard, SAFAIDS et Plan International font partie d'un groupe de partenaires de coopération qui soutiennent le processus. Les autres partenaires, la SADC, l'ONUSIDA, l'ONUDC, le FNUAP et l'ARASA, ont effectué des paiements directs au consultant et aux services d'appui requis pour les réunions et le processus consultatif dans le cadre de l'élaboration de la loi type.</w:t>
      </w:r>
    </w:p>
    <w:p w14:paraId="1C99DC50" w14:textId="77777777" w:rsidR="008C3C26" w:rsidRPr="00F55B99" w:rsidRDefault="008C3C26" w:rsidP="008C3C26">
      <w:pPr>
        <w:spacing w:after="0" w:line="240" w:lineRule="auto"/>
        <w:jc w:val="both"/>
        <w:rPr>
          <w:rFonts w:ascii="Bookman Old Style" w:eastAsia="Calibri" w:hAnsi="Bookman Old Style" w:cs="Arial"/>
          <w:b/>
          <w:sz w:val="24"/>
          <w:szCs w:val="24"/>
          <w:lang w:bidi="en-US"/>
        </w:rPr>
      </w:pPr>
    </w:p>
    <w:p w14:paraId="55A5A168" w14:textId="77777777" w:rsidR="008C3C26" w:rsidRPr="00A64F7F" w:rsidRDefault="008C3C26" w:rsidP="008921AA">
      <w:pPr>
        <w:numPr>
          <w:ilvl w:val="2"/>
          <w:numId w:val="37"/>
        </w:numPr>
        <w:spacing w:after="0" w:line="240" w:lineRule="auto"/>
        <w:contextualSpacing/>
        <w:jc w:val="both"/>
        <w:rPr>
          <w:rFonts w:ascii="Bookman Old Style" w:eastAsia="Calibri" w:hAnsi="Bookman Old Style" w:cs="Arial"/>
          <w:bCs/>
          <w:sz w:val="24"/>
          <w:szCs w:val="24"/>
        </w:rPr>
      </w:pPr>
      <w:proofErr w:type="gramStart"/>
      <w:r>
        <w:rPr>
          <w:rFonts w:ascii="Bookman Old Style" w:hAnsi="Bookman Old Style"/>
          <w:sz w:val="24"/>
        </w:rPr>
        <w:t>SAFAIDS:</w:t>
      </w:r>
      <w:proofErr w:type="gramEnd"/>
      <w:r>
        <w:rPr>
          <w:rFonts w:ascii="Bookman Old Style" w:hAnsi="Bookman Old Style"/>
          <w:sz w:val="24"/>
        </w:rPr>
        <w:t xml:space="preserve"> État de la situation financière au 30 septembre 2022 </w:t>
      </w:r>
    </w:p>
    <w:p w14:paraId="4A302281" w14:textId="3DA6FEA7" w:rsidR="009410CA" w:rsidRPr="00A64F7F" w:rsidRDefault="008C3C26" w:rsidP="004B16A5">
      <w:pPr>
        <w:spacing w:after="0" w:line="240" w:lineRule="auto"/>
        <w:ind w:left="720"/>
        <w:jc w:val="both"/>
        <w:rPr>
          <w:rFonts w:ascii="Bookman Old Style" w:eastAsia="Calibri" w:hAnsi="Bookman Old Style" w:cs="Arial"/>
          <w:bCs/>
          <w:sz w:val="24"/>
          <w:szCs w:val="24"/>
        </w:rPr>
      </w:pPr>
      <w:bookmarkStart w:id="27" w:name="_Hlk85182224"/>
      <w:r>
        <w:rPr>
          <w:rFonts w:ascii="Bookman Old Style" w:hAnsi="Bookman Old Style"/>
          <w:sz w:val="24"/>
        </w:rPr>
        <w:t>Les fonds reportés au 1er avril 2022 s'élèvent à US$ 1,300 (N$ 21,878). Un financement supplémentaire de U$26 400 (N$431 162,16) a été reçu au cours de l'année, portant le revenu total à U$27 700 (N$453 040). Les dépenses encourues entre le 1er avril 2022 et le 30 septembre se sont élevées à US$ 9 216,43 (N$150 736,85), ce qui donne un solde de US$ 18 483,57 (N$302 303,11). Les dépenses ont été engagées pour des événements parallèles aux réunions du Comité permanent. Les détails sont contenus dans le FAS ci-dessous.</w:t>
      </w:r>
      <w:bookmarkEnd w:id="27"/>
    </w:p>
    <w:tbl>
      <w:tblPr>
        <w:tblW w:w="4000" w:type="dxa"/>
        <w:tblLook w:val="04A0" w:firstRow="1" w:lastRow="0" w:firstColumn="1" w:lastColumn="0" w:noHBand="0" w:noVBand="1"/>
      </w:tblPr>
      <w:tblGrid>
        <w:gridCol w:w="2000"/>
        <w:gridCol w:w="2000"/>
      </w:tblGrid>
      <w:tr w:rsidR="001C3925" w:rsidRPr="00A64F7F" w14:paraId="58D70012" w14:textId="77777777" w:rsidTr="001C3925">
        <w:trPr>
          <w:trHeight w:val="324"/>
        </w:trPr>
        <w:tc>
          <w:tcPr>
            <w:tcW w:w="2000" w:type="dxa"/>
            <w:tcBorders>
              <w:top w:val="nil"/>
              <w:left w:val="nil"/>
              <w:bottom w:val="nil"/>
              <w:right w:val="nil"/>
            </w:tcBorders>
            <w:shd w:val="clear" w:color="auto" w:fill="auto"/>
            <w:noWrap/>
            <w:vAlign w:val="bottom"/>
            <w:hideMark/>
          </w:tcPr>
          <w:p w14:paraId="24263BC4" w14:textId="77777777" w:rsidR="001C3925" w:rsidRPr="002312EC" w:rsidRDefault="001C3925" w:rsidP="00CC759F">
            <w:pPr>
              <w:spacing w:after="0" w:line="240" w:lineRule="auto"/>
              <w:rPr>
                <w:rFonts w:ascii="Bookman Old Style" w:eastAsia="Times New Roman" w:hAnsi="Bookman Old Style" w:cs="Arial"/>
                <w:b/>
                <w:bCs/>
              </w:rPr>
            </w:pPr>
            <w:bookmarkStart w:id="28" w:name="_Hlk118371908"/>
          </w:p>
        </w:tc>
        <w:tc>
          <w:tcPr>
            <w:tcW w:w="2000" w:type="dxa"/>
            <w:tcBorders>
              <w:top w:val="nil"/>
              <w:left w:val="nil"/>
              <w:bottom w:val="nil"/>
              <w:right w:val="nil"/>
            </w:tcBorders>
            <w:shd w:val="clear" w:color="auto" w:fill="auto"/>
            <w:noWrap/>
            <w:vAlign w:val="bottom"/>
            <w:hideMark/>
          </w:tcPr>
          <w:p w14:paraId="69CF82BA" w14:textId="77777777" w:rsidR="001C3925" w:rsidRPr="002312EC" w:rsidRDefault="001C3925" w:rsidP="00CC759F">
            <w:pPr>
              <w:spacing w:after="0" w:line="240" w:lineRule="auto"/>
              <w:jc w:val="center"/>
              <w:rPr>
                <w:rFonts w:ascii="Bookman Old Style" w:eastAsia="Times New Roman" w:hAnsi="Bookman Old Style" w:cs="Times New Roman"/>
                <w:lang w:val="en-GB"/>
              </w:rPr>
            </w:pPr>
          </w:p>
        </w:tc>
      </w:tr>
      <w:bookmarkEnd w:id="28"/>
    </w:tbl>
    <w:p w14:paraId="22DBFAB8" w14:textId="77777777" w:rsidR="001C3925" w:rsidRPr="00A64F7F" w:rsidRDefault="001C3925" w:rsidP="001C3925">
      <w:pPr>
        <w:spacing w:after="0" w:line="240" w:lineRule="auto"/>
        <w:contextualSpacing/>
        <w:jc w:val="both"/>
        <w:rPr>
          <w:rFonts w:ascii="Bookman Old Style" w:eastAsia="Calibri" w:hAnsi="Bookman Old Style" w:cs="Arial"/>
          <w:b/>
          <w:sz w:val="24"/>
          <w:szCs w:val="24"/>
          <w:lang w:val="en-GB" w:bidi="en-US"/>
        </w:rPr>
      </w:pPr>
    </w:p>
    <w:tbl>
      <w:tblPr>
        <w:tblW w:w="8220" w:type="dxa"/>
        <w:tblLook w:val="04A0" w:firstRow="1" w:lastRow="0" w:firstColumn="1" w:lastColumn="0" w:noHBand="0" w:noVBand="1"/>
      </w:tblPr>
      <w:tblGrid>
        <w:gridCol w:w="4220"/>
        <w:gridCol w:w="2000"/>
        <w:gridCol w:w="2000"/>
      </w:tblGrid>
      <w:tr w:rsidR="004E00EF" w:rsidRPr="007B19C7" w14:paraId="6410C461" w14:textId="77777777" w:rsidTr="007B19C7">
        <w:trPr>
          <w:trHeight w:val="324"/>
        </w:trPr>
        <w:tc>
          <w:tcPr>
            <w:tcW w:w="4220" w:type="dxa"/>
            <w:tcBorders>
              <w:top w:val="nil"/>
              <w:left w:val="nil"/>
              <w:bottom w:val="nil"/>
              <w:right w:val="nil"/>
            </w:tcBorders>
            <w:shd w:val="clear" w:color="auto" w:fill="auto"/>
            <w:noWrap/>
            <w:vAlign w:val="bottom"/>
            <w:hideMark/>
          </w:tcPr>
          <w:p w14:paraId="12895726" w14:textId="7EB1B8F2" w:rsidR="004E00EF" w:rsidRPr="007B19C7" w:rsidRDefault="004E00EF" w:rsidP="004E00EF">
            <w:pPr>
              <w:spacing w:after="0" w:line="240" w:lineRule="auto"/>
              <w:jc w:val="both"/>
              <w:rPr>
                <w:rFonts w:ascii="Arial Narrow" w:eastAsia="Calibri" w:hAnsi="Arial Narrow" w:cs="Arial"/>
                <w:b/>
                <w:bCs/>
                <w:sz w:val="20"/>
                <w:szCs w:val="20"/>
              </w:rPr>
            </w:pPr>
            <w:r w:rsidRPr="007B19C7">
              <w:rPr>
                <w:rFonts w:ascii="Arial Narrow" w:hAnsi="Arial Narrow"/>
                <w:b/>
                <w:sz w:val="20"/>
                <w:szCs w:val="20"/>
              </w:rPr>
              <w:t>Déclaration de responsabilité du</w:t>
            </w:r>
            <w:r w:rsidR="007B19C7">
              <w:rPr>
                <w:rFonts w:ascii="Arial Narrow" w:hAnsi="Arial Narrow"/>
                <w:b/>
                <w:sz w:val="20"/>
                <w:szCs w:val="20"/>
              </w:rPr>
              <w:t xml:space="preserve"> </w:t>
            </w:r>
            <w:r w:rsidRPr="007B19C7">
              <w:rPr>
                <w:rFonts w:ascii="Arial Narrow" w:hAnsi="Arial Narrow"/>
                <w:b/>
                <w:sz w:val="20"/>
                <w:szCs w:val="20"/>
              </w:rPr>
              <w:t>Fonds SAFAIDS 30 septembre 2022</w:t>
            </w:r>
          </w:p>
          <w:p w14:paraId="39E11AA8" w14:textId="77777777" w:rsidR="004E00EF" w:rsidRPr="007B19C7" w:rsidRDefault="004E00EF" w:rsidP="004E00EF">
            <w:pPr>
              <w:spacing w:after="0" w:line="240" w:lineRule="auto"/>
              <w:jc w:val="both"/>
              <w:rPr>
                <w:rFonts w:ascii="Arial Narrow" w:eastAsia="Calibri" w:hAnsi="Arial Narrow" w:cs="Arial"/>
                <w:b/>
                <w:bCs/>
                <w:sz w:val="20"/>
                <w:szCs w:val="20"/>
                <w:lang w:bidi="en-US"/>
              </w:rPr>
            </w:pPr>
          </w:p>
        </w:tc>
        <w:tc>
          <w:tcPr>
            <w:tcW w:w="2000" w:type="dxa"/>
            <w:tcBorders>
              <w:top w:val="nil"/>
              <w:left w:val="nil"/>
              <w:bottom w:val="nil"/>
              <w:right w:val="nil"/>
            </w:tcBorders>
            <w:shd w:val="clear" w:color="auto" w:fill="auto"/>
            <w:noWrap/>
            <w:vAlign w:val="bottom"/>
            <w:hideMark/>
          </w:tcPr>
          <w:p w14:paraId="0BC86E4F" w14:textId="77777777" w:rsidR="004E00EF" w:rsidRPr="007B19C7" w:rsidRDefault="004E00EF" w:rsidP="004E00EF">
            <w:pPr>
              <w:spacing w:after="0" w:line="240" w:lineRule="auto"/>
              <w:jc w:val="both"/>
              <w:rPr>
                <w:rFonts w:ascii="Arial Narrow" w:eastAsia="Calibri" w:hAnsi="Arial Narrow" w:cs="Arial"/>
                <w:b/>
                <w:bCs/>
                <w:sz w:val="20"/>
                <w:szCs w:val="20"/>
                <w:lang w:bidi="en-US"/>
              </w:rPr>
            </w:pPr>
          </w:p>
        </w:tc>
        <w:tc>
          <w:tcPr>
            <w:tcW w:w="2000" w:type="dxa"/>
            <w:tcBorders>
              <w:top w:val="nil"/>
              <w:left w:val="nil"/>
              <w:bottom w:val="nil"/>
              <w:right w:val="nil"/>
            </w:tcBorders>
            <w:shd w:val="clear" w:color="auto" w:fill="auto"/>
            <w:noWrap/>
            <w:vAlign w:val="bottom"/>
            <w:hideMark/>
          </w:tcPr>
          <w:p w14:paraId="233C86EC" w14:textId="77777777" w:rsidR="004E00EF" w:rsidRPr="007B19C7" w:rsidRDefault="004E00EF" w:rsidP="004E00EF">
            <w:pPr>
              <w:spacing w:after="0" w:line="240" w:lineRule="auto"/>
              <w:jc w:val="both"/>
              <w:rPr>
                <w:rFonts w:ascii="Arial Narrow" w:eastAsia="Calibri" w:hAnsi="Arial Narrow" w:cs="Arial"/>
                <w:b/>
                <w:sz w:val="20"/>
                <w:szCs w:val="20"/>
                <w:lang w:bidi="en-US"/>
              </w:rPr>
            </w:pPr>
          </w:p>
        </w:tc>
      </w:tr>
      <w:tr w:rsidR="004E00EF" w:rsidRPr="007B19C7" w14:paraId="6A0EEFFC" w14:textId="77777777" w:rsidTr="007B19C7">
        <w:trPr>
          <w:trHeight w:val="312"/>
        </w:trPr>
        <w:tc>
          <w:tcPr>
            <w:tcW w:w="4220" w:type="dxa"/>
            <w:tcBorders>
              <w:top w:val="single" w:sz="8" w:space="0" w:color="auto"/>
              <w:left w:val="single" w:sz="8" w:space="0" w:color="auto"/>
              <w:bottom w:val="single" w:sz="4" w:space="0" w:color="auto"/>
              <w:right w:val="nil"/>
            </w:tcBorders>
            <w:shd w:val="clear" w:color="auto" w:fill="auto"/>
            <w:noWrap/>
            <w:vAlign w:val="bottom"/>
            <w:hideMark/>
          </w:tcPr>
          <w:p w14:paraId="724AA35D" w14:textId="77777777" w:rsidR="004E00EF" w:rsidRPr="007B19C7" w:rsidRDefault="004E00EF" w:rsidP="004E00EF">
            <w:pPr>
              <w:spacing w:after="0" w:line="240" w:lineRule="auto"/>
              <w:jc w:val="both"/>
              <w:rPr>
                <w:rFonts w:ascii="Arial Narrow" w:eastAsia="Calibri" w:hAnsi="Arial Narrow" w:cs="Arial"/>
                <w:b/>
                <w:sz w:val="20"/>
                <w:szCs w:val="20"/>
              </w:rPr>
            </w:pPr>
            <w:r w:rsidRPr="007B19C7">
              <w:rPr>
                <w:rFonts w:ascii="Arial Narrow" w:hAnsi="Arial Narrow"/>
                <w:b/>
                <w:sz w:val="20"/>
                <w:szCs w:val="20"/>
              </w:rPr>
              <w:t>Relevé de responsabilité du fonds</w:t>
            </w:r>
          </w:p>
        </w:tc>
        <w:tc>
          <w:tcPr>
            <w:tcW w:w="2000" w:type="dxa"/>
            <w:tcBorders>
              <w:top w:val="single" w:sz="8" w:space="0" w:color="auto"/>
              <w:left w:val="single" w:sz="4" w:space="0" w:color="auto"/>
              <w:bottom w:val="single" w:sz="4" w:space="0" w:color="auto"/>
              <w:right w:val="nil"/>
            </w:tcBorders>
            <w:shd w:val="clear" w:color="auto" w:fill="auto"/>
            <w:noWrap/>
            <w:vAlign w:val="bottom"/>
            <w:hideMark/>
          </w:tcPr>
          <w:p w14:paraId="346A16BB" w14:textId="77777777" w:rsidR="004E00EF" w:rsidRPr="007B19C7" w:rsidRDefault="004E00EF" w:rsidP="004E00EF">
            <w:pPr>
              <w:spacing w:after="0" w:line="240" w:lineRule="auto"/>
              <w:jc w:val="both"/>
              <w:rPr>
                <w:rFonts w:ascii="Arial Narrow" w:eastAsia="Calibri" w:hAnsi="Arial Narrow" w:cs="Arial"/>
                <w:b/>
                <w:bCs/>
                <w:sz w:val="20"/>
                <w:szCs w:val="20"/>
              </w:rPr>
            </w:pPr>
            <w:r w:rsidRPr="007B19C7">
              <w:rPr>
                <w:rFonts w:ascii="Arial Narrow" w:hAnsi="Arial Narrow"/>
                <w:b/>
                <w:sz w:val="20"/>
                <w:szCs w:val="20"/>
              </w:rPr>
              <w:t>RÉEL</w:t>
            </w:r>
          </w:p>
        </w:tc>
        <w:tc>
          <w:tcPr>
            <w:tcW w:w="200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64F6C5CB" w14:textId="77777777" w:rsidR="004E00EF" w:rsidRPr="007B19C7" w:rsidRDefault="004E00EF" w:rsidP="004E00EF">
            <w:pPr>
              <w:spacing w:after="0" w:line="240" w:lineRule="auto"/>
              <w:jc w:val="both"/>
              <w:rPr>
                <w:rFonts w:ascii="Arial Narrow" w:eastAsia="Calibri" w:hAnsi="Arial Narrow" w:cs="Arial"/>
                <w:b/>
                <w:bCs/>
                <w:sz w:val="20"/>
                <w:szCs w:val="20"/>
              </w:rPr>
            </w:pPr>
            <w:r w:rsidRPr="007B19C7">
              <w:rPr>
                <w:rFonts w:ascii="Arial Narrow" w:hAnsi="Arial Narrow"/>
                <w:b/>
                <w:sz w:val="20"/>
                <w:szCs w:val="20"/>
              </w:rPr>
              <w:t>RÉEL</w:t>
            </w:r>
          </w:p>
        </w:tc>
      </w:tr>
      <w:tr w:rsidR="004E00EF" w:rsidRPr="007B19C7" w14:paraId="23850B40" w14:textId="77777777" w:rsidTr="007B19C7">
        <w:trPr>
          <w:trHeight w:val="312"/>
        </w:trPr>
        <w:tc>
          <w:tcPr>
            <w:tcW w:w="4220" w:type="dxa"/>
            <w:tcBorders>
              <w:top w:val="nil"/>
              <w:left w:val="single" w:sz="8" w:space="0" w:color="auto"/>
              <w:bottom w:val="nil"/>
              <w:right w:val="nil"/>
            </w:tcBorders>
            <w:shd w:val="clear" w:color="auto" w:fill="auto"/>
            <w:noWrap/>
            <w:vAlign w:val="bottom"/>
            <w:hideMark/>
          </w:tcPr>
          <w:p w14:paraId="5A197E52" w14:textId="77777777" w:rsidR="004E00EF" w:rsidRPr="007B19C7" w:rsidRDefault="004E00EF" w:rsidP="004E00EF">
            <w:pPr>
              <w:spacing w:after="0" w:line="240" w:lineRule="auto"/>
              <w:jc w:val="both"/>
              <w:rPr>
                <w:rFonts w:ascii="Arial Narrow" w:eastAsia="Calibri" w:hAnsi="Arial Narrow" w:cs="Arial"/>
                <w:b/>
                <w:bCs/>
                <w:sz w:val="20"/>
                <w:szCs w:val="20"/>
                <w:u w:val="single"/>
              </w:rPr>
            </w:pPr>
            <w:r w:rsidRPr="007B19C7">
              <w:rPr>
                <w:rFonts w:ascii="Arial Narrow" w:hAnsi="Arial Narrow"/>
                <w:b/>
                <w:sz w:val="20"/>
                <w:szCs w:val="20"/>
              </w:rPr>
              <w:t> </w:t>
            </w:r>
          </w:p>
        </w:tc>
        <w:tc>
          <w:tcPr>
            <w:tcW w:w="2000" w:type="dxa"/>
            <w:tcBorders>
              <w:top w:val="nil"/>
              <w:left w:val="single" w:sz="4" w:space="0" w:color="auto"/>
              <w:bottom w:val="nil"/>
              <w:right w:val="nil"/>
            </w:tcBorders>
            <w:shd w:val="clear" w:color="auto" w:fill="auto"/>
            <w:noWrap/>
            <w:vAlign w:val="bottom"/>
            <w:hideMark/>
          </w:tcPr>
          <w:p w14:paraId="1F0FFF96"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 xml:space="preserve"> N$ </w:t>
            </w:r>
          </w:p>
        </w:tc>
        <w:tc>
          <w:tcPr>
            <w:tcW w:w="2000" w:type="dxa"/>
            <w:tcBorders>
              <w:top w:val="nil"/>
              <w:left w:val="single" w:sz="4" w:space="0" w:color="auto"/>
              <w:bottom w:val="nil"/>
              <w:right w:val="single" w:sz="8" w:space="0" w:color="auto"/>
            </w:tcBorders>
            <w:shd w:val="clear" w:color="auto" w:fill="auto"/>
            <w:noWrap/>
            <w:vAlign w:val="bottom"/>
            <w:hideMark/>
          </w:tcPr>
          <w:p w14:paraId="43CCD145"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 xml:space="preserve"> US$ </w:t>
            </w:r>
          </w:p>
        </w:tc>
      </w:tr>
      <w:tr w:rsidR="004E00EF" w:rsidRPr="007B19C7" w14:paraId="2D98963A" w14:textId="77777777" w:rsidTr="007B19C7">
        <w:trPr>
          <w:trHeight w:val="312"/>
        </w:trPr>
        <w:tc>
          <w:tcPr>
            <w:tcW w:w="4220" w:type="dxa"/>
            <w:tcBorders>
              <w:top w:val="nil"/>
              <w:left w:val="single" w:sz="8" w:space="0" w:color="auto"/>
              <w:bottom w:val="nil"/>
              <w:right w:val="nil"/>
            </w:tcBorders>
            <w:shd w:val="clear" w:color="auto" w:fill="auto"/>
            <w:noWrap/>
            <w:vAlign w:val="bottom"/>
            <w:hideMark/>
          </w:tcPr>
          <w:p w14:paraId="420D5F28" w14:textId="77777777" w:rsidR="004E00EF" w:rsidRPr="007B19C7" w:rsidRDefault="004E00EF" w:rsidP="004E00EF">
            <w:pPr>
              <w:spacing w:after="0" w:line="240" w:lineRule="auto"/>
              <w:jc w:val="both"/>
              <w:rPr>
                <w:rFonts w:ascii="Arial Narrow" w:eastAsia="Calibri" w:hAnsi="Arial Narrow" w:cs="Arial"/>
                <w:b/>
                <w:sz w:val="20"/>
                <w:szCs w:val="20"/>
              </w:rPr>
            </w:pPr>
            <w:r w:rsidRPr="007B19C7">
              <w:rPr>
                <w:rFonts w:ascii="Arial Narrow" w:hAnsi="Arial Narrow"/>
                <w:b/>
                <w:sz w:val="20"/>
                <w:szCs w:val="20"/>
                <w:u w:val="single"/>
              </w:rPr>
              <w:t>Recettes :</w:t>
            </w:r>
          </w:p>
        </w:tc>
        <w:tc>
          <w:tcPr>
            <w:tcW w:w="2000" w:type="dxa"/>
            <w:tcBorders>
              <w:top w:val="nil"/>
              <w:left w:val="single" w:sz="4" w:space="0" w:color="auto"/>
              <w:bottom w:val="single" w:sz="4" w:space="0" w:color="auto"/>
              <w:right w:val="nil"/>
            </w:tcBorders>
            <w:shd w:val="clear" w:color="auto" w:fill="auto"/>
            <w:noWrap/>
            <w:vAlign w:val="bottom"/>
            <w:hideMark/>
          </w:tcPr>
          <w:p w14:paraId="16085142"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 </w:t>
            </w:r>
          </w:p>
        </w:tc>
        <w:tc>
          <w:tcPr>
            <w:tcW w:w="2000" w:type="dxa"/>
            <w:tcBorders>
              <w:top w:val="nil"/>
              <w:left w:val="single" w:sz="4" w:space="0" w:color="auto"/>
              <w:bottom w:val="single" w:sz="4" w:space="0" w:color="auto"/>
              <w:right w:val="single" w:sz="8" w:space="0" w:color="auto"/>
            </w:tcBorders>
            <w:shd w:val="clear" w:color="auto" w:fill="auto"/>
            <w:noWrap/>
            <w:vAlign w:val="bottom"/>
            <w:hideMark/>
          </w:tcPr>
          <w:p w14:paraId="58220EA4"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 </w:t>
            </w:r>
          </w:p>
        </w:tc>
      </w:tr>
      <w:tr w:rsidR="004E00EF" w:rsidRPr="007B19C7" w14:paraId="614ACFBF" w14:textId="77777777" w:rsidTr="007B19C7">
        <w:trPr>
          <w:trHeight w:val="312"/>
        </w:trPr>
        <w:tc>
          <w:tcPr>
            <w:tcW w:w="4220" w:type="dxa"/>
            <w:tcBorders>
              <w:top w:val="nil"/>
              <w:left w:val="single" w:sz="8" w:space="0" w:color="auto"/>
              <w:bottom w:val="nil"/>
              <w:right w:val="nil"/>
            </w:tcBorders>
            <w:shd w:val="clear" w:color="auto" w:fill="auto"/>
            <w:noWrap/>
            <w:vAlign w:val="bottom"/>
            <w:hideMark/>
          </w:tcPr>
          <w:p w14:paraId="51C7F115" w14:textId="77777777" w:rsidR="004E00EF" w:rsidRPr="007B19C7" w:rsidRDefault="004E00EF" w:rsidP="004E00EF">
            <w:pPr>
              <w:spacing w:after="0" w:line="240" w:lineRule="auto"/>
              <w:jc w:val="both"/>
              <w:rPr>
                <w:rFonts w:ascii="Arial Narrow" w:eastAsia="Calibri" w:hAnsi="Arial Narrow" w:cs="Arial"/>
                <w:b/>
                <w:sz w:val="20"/>
                <w:szCs w:val="20"/>
              </w:rPr>
            </w:pPr>
            <w:r w:rsidRPr="007B19C7">
              <w:rPr>
                <w:rFonts w:ascii="Arial Narrow" w:hAnsi="Arial Narrow"/>
                <w:b/>
                <w:sz w:val="20"/>
                <w:szCs w:val="20"/>
              </w:rPr>
              <w:t>Solde reporté</w:t>
            </w:r>
          </w:p>
        </w:tc>
        <w:tc>
          <w:tcPr>
            <w:tcW w:w="2000" w:type="dxa"/>
            <w:tcBorders>
              <w:top w:val="nil"/>
              <w:left w:val="single" w:sz="4" w:space="0" w:color="auto"/>
              <w:bottom w:val="nil"/>
              <w:right w:val="nil"/>
            </w:tcBorders>
            <w:shd w:val="clear" w:color="auto" w:fill="auto"/>
            <w:noWrap/>
            <w:vAlign w:val="bottom"/>
            <w:hideMark/>
          </w:tcPr>
          <w:p w14:paraId="7E788D70"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sz w:val="20"/>
                <w:szCs w:val="20"/>
              </w:rPr>
              <w:t>21 878</w:t>
            </w:r>
            <w:r w:rsidRPr="007B19C7">
              <w:rPr>
                <w:rFonts w:ascii="Arial Narrow" w:hAnsi="Arial Narrow"/>
                <w:b/>
                <w:sz w:val="20"/>
                <w:szCs w:val="20"/>
              </w:rPr>
              <w:t xml:space="preserve"> </w:t>
            </w:r>
          </w:p>
        </w:tc>
        <w:tc>
          <w:tcPr>
            <w:tcW w:w="2000" w:type="dxa"/>
            <w:tcBorders>
              <w:top w:val="nil"/>
              <w:left w:val="single" w:sz="4" w:space="0" w:color="auto"/>
              <w:bottom w:val="nil"/>
              <w:right w:val="single" w:sz="8" w:space="0" w:color="auto"/>
            </w:tcBorders>
            <w:shd w:val="clear" w:color="auto" w:fill="auto"/>
            <w:noWrap/>
            <w:vAlign w:val="bottom"/>
            <w:hideMark/>
          </w:tcPr>
          <w:p w14:paraId="71D70795"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 xml:space="preserve">1300 </w:t>
            </w:r>
          </w:p>
        </w:tc>
      </w:tr>
      <w:tr w:rsidR="004E00EF" w:rsidRPr="007B19C7" w14:paraId="5C0D298B" w14:textId="77777777" w:rsidTr="007B19C7">
        <w:trPr>
          <w:trHeight w:val="312"/>
        </w:trPr>
        <w:tc>
          <w:tcPr>
            <w:tcW w:w="4220" w:type="dxa"/>
            <w:tcBorders>
              <w:top w:val="nil"/>
              <w:left w:val="single" w:sz="8" w:space="0" w:color="auto"/>
              <w:bottom w:val="nil"/>
              <w:right w:val="nil"/>
            </w:tcBorders>
            <w:shd w:val="clear" w:color="auto" w:fill="auto"/>
            <w:noWrap/>
            <w:vAlign w:val="bottom"/>
            <w:hideMark/>
          </w:tcPr>
          <w:p w14:paraId="0E10AC87" w14:textId="77777777" w:rsidR="004E00EF" w:rsidRPr="007B19C7" w:rsidRDefault="004E00EF" w:rsidP="004E00EF">
            <w:pPr>
              <w:spacing w:after="0" w:line="240" w:lineRule="auto"/>
              <w:jc w:val="both"/>
              <w:rPr>
                <w:rFonts w:ascii="Arial Narrow" w:eastAsia="Calibri" w:hAnsi="Arial Narrow" w:cs="Arial"/>
                <w:b/>
                <w:bCs/>
                <w:sz w:val="20"/>
                <w:szCs w:val="20"/>
                <w:u w:val="single"/>
              </w:rPr>
            </w:pPr>
            <w:r w:rsidRPr="007B19C7">
              <w:rPr>
                <w:rFonts w:ascii="Arial Narrow" w:hAnsi="Arial Narrow"/>
                <w:b/>
                <w:sz w:val="20"/>
                <w:szCs w:val="20"/>
              </w:rPr>
              <w:t>Fonds reçus</w:t>
            </w:r>
          </w:p>
        </w:tc>
        <w:tc>
          <w:tcPr>
            <w:tcW w:w="2000" w:type="dxa"/>
            <w:tcBorders>
              <w:top w:val="nil"/>
              <w:left w:val="single" w:sz="4" w:space="0" w:color="auto"/>
              <w:bottom w:val="single" w:sz="4" w:space="0" w:color="auto"/>
              <w:right w:val="nil"/>
            </w:tcBorders>
            <w:shd w:val="clear" w:color="auto" w:fill="auto"/>
            <w:noWrap/>
            <w:vAlign w:val="bottom"/>
            <w:hideMark/>
          </w:tcPr>
          <w:p w14:paraId="30B77E3A"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sz w:val="20"/>
                <w:szCs w:val="20"/>
              </w:rPr>
              <w:t>431 162</w:t>
            </w:r>
          </w:p>
        </w:tc>
        <w:tc>
          <w:tcPr>
            <w:tcW w:w="2000" w:type="dxa"/>
            <w:tcBorders>
              <w:top w:val="nil"/>
              <w:left w:val="single" w:sz="4" w:space="0" w:color="auto"/>
              <w:bottom w:val="single" w:sz="4" w:space="0" w:color="auto"/>
              <w:right w:val="single" w:sz="8" w:space="0" w:color="auto"/>
            </w:tcBorders>
            <w:shd w:val="clear" w:color="auto" w:fill="auto"/>
            <w:noWrap/>
            <w:vAlign w:val="bottom"/>
            <w:hideMark/>
          </w:tcPr>
          <w:p w14:paraId="0A723FFB"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26400</w:t>
            </w:r>
          </w:p>
        </w:tc>
      </w:tr>
      <w:tr w:rsidR="004E00EF" w:rsidRPr="007B19C7" w14:paraId="39B8A799" w14:textId="77777777" w:rsidTr="007B19C7">
        <w:trPr>
          <w:trHeight w:val="312"/>
        </w:trPr>
        <w:tc>
          <w:tcPr>
            <w:tcW w:w="4220" w:type="dxa"/>
            <w:tcBorders>
              <w:top w:val="nil"/>
              <w:left w:val="single" w:sz="8" w:space="0" w:color="auto"/>
              <w:bottom w:val="nil"/>
              <w:right w:val="nil"/>
            </w:tcBorders>
            <w:shd w:val="clear" w:color="auto" w:fill="auto"/>
            <w:noWrap/>
            <w:vAlign w:val="bottom"/>
            <w:hideMark/>
          </w:tcPr>
          <w:p w14:paraId="7FFF9D86" w14:textId="77777777" w:rsidR="004E00EF" w:rsidRPr="007B19C7" w:rsidRDefault="004E00EF" w:rsidP="004E00EF">
            <w:pPr>
              <w:spacing w:after="0" w:line="240" w:lineRule="auto"/>
              <w:jc w:val="both"/>
              <w:rPr>
                <w:rFonts w:ascii="Arial Narrow" w:eastAsia="Calibri" w:hAnsi="Arial Narrow" w:cs="Arial"/>
                <w:b/>
                <w:sz w:val="20"/>
                <w:szCs w:val="20"/>
              </w:rPr>
            </w:pPr>
            <w:r w:rsidRPr="007B19C7">
              <w:rPr>
                <w:rFonts w:ascii="Arial Narrow" w:hAnsi="Arial Narrow"/>
                <w:b/>
                <w:sz w:val="20"/>
                <w:szCs w:val="20"/>
              </w:rPr>
              <w:t>Total des recettes</w:t>
            </w:r>
          </w:p>
        </w:tc>
        <w:tc>
          <w:tcPr>
            <w:tcW w:w="2000" w:type="dxa"/>
            <w:tcBorders>
              <w:top w:val="single" w:sz="4" w:space="0" w:color="auto"/>
              <w:left w:val="single" w:sz="4" w:space="0" w:color="auto"/>
              <w:bottom w:val="single" w:sz="4" w:space="0" w:color="auto"/>
              <w:right w:val="nil"/>
            </w:tcBorders>
            <w:shd w:val="clear" w:color="auto" w:fill="auto"/>
            <w:noWrap/>
            <w:vAlign w:val="bottom"/>
            <w:hideMark/>
          </w:tcPr>
          <w:p w14:paraId="0C4B0A54"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sz w:val="20"/>
                <w:szCs w:val="20"/>
              </w:rPr>
              <w:t>453 040</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7FAAE"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27700</w:t>
            </w:r>
          </w:p>
        </w:tc>
      </w:tr>
      <w:tr w:rsidR="004E00EF" w:rsidRPr="007B19C7" w14:paraId="1A7F30D1" w14:textId="77777777" w:rsidTr="007B19C7">
        <w:trPr>
          <w:trHeight w:val="312"/>
        </w:trPr>
        <w:tc>
          <w:tcPr>
            <w:tcW w:w="4220" w:type="dxa"/>
            <w:tcBorders>
              <w:top w:val="single" w:sz="4" w:space="0" w:color="auto"/>
              <w:left w:val="single" w:sz="8" w:space="0" w:color="auto"/>
              <w:bottom w:val="single" w:sz="4" w:space="0" w:color="auto"/>
              <w:right w:val="nil"/>
            </w:tcBorders>
            <w:shd w:val="clear" w:color="auto" w:fill="auto"/>
            <w:noWrap/>
            <w:vAlign w:val="bottom"/>
            <w:hideMark/>
          </w:tcPr>
          <w:p w14:paraId="7C026FDF" w14:textId="77777777" w:rsidR="004E00EF" w:rsidRPr="007B19C7" w:rsidRDefault="004E00EF" w:rsidP="004E00EF">
            <w:pPr>
              <w:spacing w:after="0" w:line="240" w:lineRule="auto"/>
              <w:jc w:val="both"/>
              <w:rPr>
                <w:rFonts w:ascii="Arial Narrow" w:eastAsia="Calibri" w:hAnsi="Arial Narrow" w:cs="Arial"/>
                <w:b/>
                <w:bCs/>
                <w:sz w:val="20"/>
                <w:szCs w:val="20"/>
              </w:rPr>
            </w:pPr>
            <w:r w:rsidRPr="007B19C7">
              <w:rPr>
                <w:rFonts w:ascii="Arial Narrow" w:hAnsi="Arial Narrow"/>
                <w:b/>
                <w:sz w:val="20"/>
                <w:szCs w:val="20"/>
              </w:rPr>
              <w:t> </w:t>
            </w:r>
          </w:p>
        </w:tc>
        <w:tc>
          <w:tcPr>
            <w:tcW w:w="2000" w:type="dxa"/>
            <w:tcBorders>
              <w:top w:val="single" w:sz="4" w:space="0" w:color="auto"/>
              <w:left w:val="single" w:sz="4" w:space="0" w:color="auto"/>
              <w:bottom w:val="single" w:sz="4" w:space="0" w:color="auto"/>
              <w:right w:val="nil"/>
            </w:tcBorders>
            <w:shd w:val="clear" w:color="auto" w:fill="auto"/>
            <w:noWrap/>
            <w:vAlign w:val="bottom"/>
            <w:hideMark/>
          </w:tcPr>
          <w:p w14:paraId="048AAF4F" w14:textId="77777777" w:rsidR="004E00EF" w:rsidRPr="007B19C7" w:rsidRDefault="004E00EF" w:rsidP="00EC5C0F">
            <w:pPr>
              <w:spacing w:after="0" w:line="240" w:lineRule="auto"/>
              <w:jc w:val="right"/>
              <w:rPr>
                <w:rFonts w:ascii="Arial Narrow" w:eastAsia="Calibri" w:hAnsi="Arial Narrow" w:cs="Arial"/>
                <w:b/>
                <w:bCs/>
                <w:sz w:val="20"/>
                <w:szCs w:val="20"/>
              </w:rPr>
            </w:pPr>
            <w:r w:rsidRPr="007B19C7">
              <w:rPr>
                <w:rFonts w:ascii="Arial Narrow" w:hAnsi="Arial Narrow"/>
                <w:b/>
                <w:sz w:val="20"/>
                <w:szCs w:val="20"/>
              </w:rPr>
              <w:t> </w:t>
            </w:r>
          </w:p>
        </w:tc>
        <w:tc>
          <w:tcPr>
            <w:tcW w:w="200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7740F63" w14:textId="77777777" w:rsidR="004E00EF" w:rsidRPr="007B19C7" w:rsidRDefault="004E00EF" w:rsidP="00EC5C0F">
            <w:pPr>
              <w:spacing w:after="0" w:line="240" w:lineRule="auto"/>
              <w:jc w:val="right"/>
              <w:rPr>
                <w:rFonts w:ascii="Arial Narrow" w:eastAsia="Calibri" w:hAnsi="Arial Narrow" w:cs="Arial"/>
                <w:b/>
                <w:bCs/>
                <w:sz w:val="20"/>
                <w:szCs w:val="20"/>
              </w:rPr>
            </w:pPr>
            <w:r w:rsidRPr="007B19C7">
              <w:rPr>
                <w:rFonts w:ascii="Arial Narrow" w:hAnsi="Arial Narrow"/>
                <w:b/>
                <w:sz w:val="20"/>
                <w:szCs w:val="20"/>
              </w:rPr>
              <w:t> </w:t>
            </w:r>
          </w:p>
        </w:tc>
      </w:tr>
      <w:tr w:rsidR="004E00EF" w:rsidRPr="007B19C7" w14:paraId="515DECE1" w14:textId="77777777" w:rsidTr="007B19C7">
        <w:trPr>
          <w:trHeight w:val="312"/>
        </w:trPr>
        <w:tc>
          <w:tcPr>
            <w:tcW w:w="4220" w:type="dxa"/>
            <w:tcBorders>
              <w:top w:val="nil"/>
              <w:left w:val="single" w:sz="8" w:space="0" w:color="auto"/>
              <w:bottom w:val="nil"/>
              <w:right w:val="nil"/>
            </w:tcBorders>
            <w:shd w:val="clear" w:color="auto" w:fill="auto"/>
            <w:noWrap/>
            <w:vAlign w:val="bottom"/>
            <w:hideMark/>
          </w:tcPr>
          <w:p w14:paraId="1C809254" w14:textId="77777777" w:rsidR="004E00EF" w:rsidRPr="007B19C7" w:rsidRDefault="004E00EF" w:rsidP="004E00EF">
            <w:pPr>
              <w:spacing w:after="0" w:line="240" w:lineRule="auto"/>
              <w:jc w:val="both"/>
              <w:rPr>
                <w:rFonts w:ascii="Arial Narrow" w:eastAsia="Calibri" w:hAnsi="Arial Narrow" w:cs="Arial"/>
                <w:b/>
                <w:bCs/>
                <w:sz w:val="20"/>
                <w:szCs w:val="20"/>
              </w:rPr>
            </w:pPr>
            <w:proofErr w:type="gramStart"/>
            <w:r w:rsidRPr="007B19C7">
              <w:rPr>
                <w:rFonts w:ascii="Arial Narrow" w:hAnsi="Arial Narrow"/>
                <w:b/>
                <w:sz w:val="20"/>
                <w:szCs w:val="20"/>
                <w:u w:val="single"/>
              </w:rPr>
              <w:t>Dépenses:</w:t>
            </w:r>
            <w:proofErr w:type="gramEnd"/>
          </w:p>
        </w:tc>
        <w:tc>
          <w:tcPr>
            <w:tcW w:w="2000" w:type="dxa"/>
            <w:tcBorders>
              <w:top w:val="nil"/>
              <w:left w:val="single" w:sz="4" w:space="0" w:color="auto"/>
              <w:bottom w:val="nil"/>
              <w:right w:val="nil"/>
            </w:tcBorders>
            <w:shd w:val="clear" w:color="auto" w:fill="auto"/>
            <w:noWrap/>
            <w:vAlign w:val="bottom"/>
            <w:hideMark/>
          </w:tcPr>
          <w:p w14:paraId="0B7A502C" w14:textId="77777777" w:rsidR="004E00EF" w:rsidRPr="007B19C7" w:rsidRDefault="004E00EF" w:rsidP="00EC5C0F">
            <w:pPr>
              <w:spacing w:after="0" w:line="240" w:lineRule="auto"/>
              <w:jc w:val="right"/>
              <w:rPr>
                <w:rFonts w:ascii="Arial Narrow" w:eastAsia="Calibri" w:hAnsi="Arial Narrow" w:cs="Arial"/>
                <w:b/>
                <w:bCs/>
                <w:sz w:val="20"/>
                <w:szCs w:val="20"/>
              </w:rPr>
            </w:pPr>
            <w:r w:rsidRPr="007B19C7">
              <w:rPr>
                <w:rFonts w:ascii="Arial Narrow" w:hAnsi="Arial Narrow"/>
                <w:b/>
                <w:sz w:val="20"/>
                <w:szCs w:val="20"/>
              </w:rPr>
              <w:t> </w:t>
            </w:r>
          </w:p>
        </w:tc>
        <w:tc>
          <w:tcPr>
            <w:tcW w:w="2000" w:type="dxa"/>
            <w:tcBorders>
              <w:top w:val="nil"/>
              <w:left w:val="single" w:sz="4" w:space="0" w:color="auto"/>
              <w:bottom w:val="nil"/>
              <w:right w:val="single" w:sz="8" w:space="0" w:color="auto"/>
            </w:tcBorders>
            <w:shd w:val="clear" w:color="auto" w:fill="auto"/>
            <w:noWrap/>
            <w:vAlign w:val="bottom"/>
            <w:hideMark/>
          </w:tcPr>
          <w:p w14:paraId="6E626F8A" w14:textId="77777777" w:rsidR="004E00EF" w:rsidRPr="007B19C7" w:rsidRDefault="004E00EF" w:rsidP="00EC5C0F">
            <w:pPr>
              <w:spacing w:after="0" w:line="240" w:lineRule="auto"/>
              <w:jc w:val="right"/>
              <w:rPr>
                <w:rFonts w:ascii="Arial Narrow" w:eastAsia="Calibri" w:hAnsi="Arial Narrow" w:cs="Arial"/>
                <w:b/>
                <w:bCs/>
                <w:sz w:val="20"/>
                <w:szCs w:val="20"/>
              </w:rPr>
            </w:pPr>
            <w:r w:rsidRPr="007B19C7">
              <w:rPr>
                <w:rFonts w:ascii="Arial Narrow" w:hAnsi="Arial Narrow"/>
                <w:b/>
                <w:sz w:val="20"/>
                <w:szCs w:val="20"/>
              </w:rPr>
              <w:t> </w:t>
            </w:r>
          </w:p>
        </w:tc>
      </w:tr>
      <w:tr w:rsidR="004E00EF" w:rsidRPr="007B19C7" w14:paraId="3B6FF494" w14:textId="77777777" w:rsidTr="007B19C7">
        <w:trPr>
          <w:trHeight w:val="324"/>
        </w:trPr>
        <w:tc>
          <w:tcPr>
            <w:tcW w:w="4220" w:type="dxa"/>
            <w:tcBorders>
              <w:top w:val="single" w:sz="4" w:space="0" w:color="auto"/>
              <w:left w:val="single" w:sz="8" w:space="0" w:color="auto"/>
              <w:bottom w:val="single" w:sz="4" w:space="0" w:color="auto"/>
              <w:right w:val="nil"/>
            </w:tcBorders>
            <w:shd w:val="clear" w:color="auto" w:fill="auto"/>
            <w:noWrap/>
            <w:vAlign w:val="bottom"/>
            <w:hideMark/>
          </w:tcPr>
          <w:p w14:paraId="1B55555F" w14:textId="77777777" w:rsidR="004E00EF" w:rsidRPr="007B19C7" w:rsidRDefault="004E00EF" w:rsidP="004E00EF">
            <w:pPr>
              <w:spacing w:after="0" w:line="240" w:lineRule="auto"/>
              <w:jc w:val="both"/>
              <w:rPr>
                <w:rFonts w:ascii="Arial Narrow" w:eastAsia="Calibri" w:hAnsi="Arial Narrow" w:cs="Arial"/>
                <w:b/>
                <w:bCs/>
                <w:sz w:val="20"/>
                <w:szCs w:val="20"/>
              </w:rPr>
            </w:pPr>
            <w:r w:rsidRPr="007B19C7">
              <w:rPr>
                <w:rFonts w:ascii="Arial Narrow" w:hAnsi="Arial Narrow"/>
                <w:b/>
                <w:sz w:val="20"/>
                <w:szCs w:val="20"/>
              </w:rPr>
              <w:t>Événement parallèle : Réunions des Comités permanents</w:t>
            </w:r>
          </w:p>
        </w:tc>
        <w:tc>
          <w:tcPr>
            <w:tcW w:w="2000" w:type="dxa"/>
            <w:tcBorders>
              <w:top w:val="single" w:sz="4" w:space="0" w:color="auto"/>
              <w:left w:val="single" w:sz="4" w:space="0" w:color="auto"/>
              <w:bottom w:val="single" w:sz="4" w:space="0" w:color="auto"/>
              <w:right w:val="nil"/>
            </w:tcBorders>
            <w:shd w:val="clear" w:color="auto" w:fill="auto"/>
            <w:noWrap/>
            <w:vAlign w:val="bottom"/>
            <w:hideMark/>
          </w:tcPr>
          <w:p w14:paraId="33B8EAFD" w14:textId="77777777" w:rsidR="004E00EF" w:rsidRPr="007B19C7" w:rsidRDefault="004E00EF" w:rsidP="00EC5C0F">
            <w:pPr>
              <w:spacing w:after="0" w:line="240" w:lineRule="auto"/>
              <w:jc w:val="right"/>
              <w:rPr>
                <w:rFonts w:ascii="Arial Narrow" w:eastAsia="Calibri" w:hAnsi="Arial Narrow" w:cs="Arial"/>
                <w:b/>
                <w:bCs/>
                <w:sz w:val="20"/>
                <w:szCs w:val="20"/>
              </w:rPr>
            </w:pPr>
            <w:r w:rsidRPr="007B19C7">
              <w:rPr>
                <w:rFonts w:ascii="Arial Narrow" w:hAnsi="Arial Narrow"/>
                <w:b/>
                <w:sz w:val="20"/>
                <w:szCs w:val="20"/>
              </w:rPr>
              <w:t>150736,85</w:t>
            </w:r>
          </w:p>
        </w:tc>
        <w:tc>
          <w:tcPr>
            <w:tcW w:w="200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81BBEB4" w14:textId="77777777" w:rsidR="004E00EF" w:rsidRPr="007B19C7" w:rsidRDefault="004E00EF" w:rsidP="00EC5C0F">
            <w:pPr>
              <w:spacing w:after="0" w:line="240" w:lineRule="auto"/>
              <w:jc w:val="right"/>
              <w:rPr>
                <w:rFonts w:ascii="Arial Narrow" w:eastAsia="Calibri" w:hAnsi="Arial Narrow" w:cs="Arial"/>
                <w:b/>
                <w:bCs/>
                <w:sz w:val="20"/>
                <w:szCs w:val="20"/>
              </w:rPr>
            </w:pPr>
            <w:r w:rsidRPr="007B19C7">
              <w:rPr>
                <w:rFonts w:ascii="Arial Narrow" w:hAnsi="Arial Narrow"/>
                <w:sz w:val="20"/>
                <w:szCs w:val="20"/>
              </w:rPr>
              <w:t>9 216,43</w:t>
            </w:r>
          </w:p>
        </w:tc>
      </w:tr>
      <w:tr w:rsidR="004E00EF" w:rsidRPr="007B19C7" w14:paraId="673E768C" w14:textId="77777777" w:rsidTr="007B19C7">
        <w:trPr>
          <w:trHeight w:val="324"/>
        </w:trPr>
        <w:tc>
          <w:tcPr>
            <w:tcW w:w="4220" w:type="dxa"/>
            <w:tcBorders>
              <w:top w:val="single" w:sz="4" w:space="0" w:color="auto"/>
              <w:left w:val="single" w:sz="8" w:space="0" w:color="auto"/>
              <w:bottom w:val="single" w:sz="4" w:space="0" w:color="auto"/>
              <w:right w:val="nil"/>
            </w:tcBorders>
            <w:shd w:val="clear" w:color="auto" w:fill="auto"/>
            <w:noWrap/>
            <w:vAlign w:val="bottom"/>
          </w:tcPr>
          <w:p w14:paraId="5106AEE7" w14:textId="77777777" w:rsidR="004E00EF" w:rsidRPr="007B19C7" w:rsidRDefault="004E00EF" w:rsidP="004E00EF">
            <w:pPr>
              <w:spacing w:after="0" w:line="240" w:lineRule="auto"/>
              <w:jc w:val="both"/>
              <w:rPr>
                <w:rFonts w:ascii="Arial Narrow" w:eastAsia="Calibri" w:hAnsi="Arial Narrow" w:cs="Arial"/>
                <w:b/>
                <w:bCs/>
                <w:sz w:val="20"/>
                <w:szCs w:val="20"/>
                <w:lang w:val="en-GB" w:bidi="en-US"/>
              </w:rPr>
            </w:pPr>
          </w:p>
        </w:tc>
        <w:tc>
          <w:tcPr>
            <w:tcW w:w="2000" w:type="dxa"/>
            <w:tcBorders>
              <w:top w:val="single" w:sz="4" w:space="0" w:color="auto"/>
              <w:left w:val="single" w:sz="4" w:space="0" w:color="auto"/>
              <w:bottom w:val="single" w:sz="4" w:space="0" w:color="auto"/>
              <w:right w:val="nil"/>
            </w:tcBorders>
            <w:shd w:val="clear" w:color="auto" w:fill="auto"/>
            <w:noWrap/>
            <w:vAlign w:val="bottom"/>
          </w:tcPr>
          <w:p w14:paraId="0870A54B" w14:textId="77777777" w:rsidR="004E00EF" w:rsidRPr="007B19C7" w:rsidRDefault="004E00EF" w:rsidP="00EC5C0F">
            <w:pPr>
              <w:spacing w:after="0" w:line="240" w:lineRule="auto"/>
              <w:jc w:val="right"/>
              <w:rPr>
                <w:rFonts w:ascii="Arial Narrow" w:eastAsia="Calibri" w:hAnsi="Arial Narrow" w:cs="Arial"/>
                <w:b/>
                <w:sz w:val="20"/>
                <w:szCs w:val="20"/>
                <w:lang w:val="en-GB" w:bidi="en-US"/>
              </w:rPr>
            </w:pPr>
          </w:p>
        </w:tc>
        <w:tc>
          <w:tcPr>
            <w:tcW w:w="200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481EBC3" w14:textId="77777777" w:rsidR="004E00EF" w:rsidRPr="007B19C7" w:rsidRDefault="004E00EF" w:rsidP="00EC5C0F">
            <w:pPr>
              <w:spacing w:after="0" w:line="240" w:lineRule="auto"/>
              <w:jc w:val="right"/>
              <w:rPr>
                <w:rFonts w:ascii="Arial Narrow" w:eastAsia="Calibri" w:hAnsi="Arial Narrow" w:cs="Arial"/>
                <w:b/>
                <w:sz w:val="20"/>
                <w:szCs w:val="20"/>
                <w:lang w:val="en-GB" w:bidi="en-US"/>
              </w:rPr>
            </w:pPr>
          </w:p>
        </w:tc>
      </w:tr>
      <w:tr w:rsidR="004E00EF" w:rsidRPr="007B19C7" w14:paraId="15A2CEBD" w14:textId="77777777" w:rsidTr="007B19C7">
        <w:trPr>
          <w:trHeight w:val="324"/>
        </w:trPr>
        <w:tc>
          <w:tcPr>
            <w:tcW w:w="4220" w:type="dxa"/>
            <w:tcBorders>
              <w:top w:val="single" w:sz="4" w:space="0" w:color="auto"/>
              <w:left w:val="single" w:sz="8" w:space="0" w:color="auto"/>
              <w:bottom w:val="single" w:sz="4" w:space="0" w:color="auto"/>
              <w:right w:val="nil"/>
            </w:tcBorders>
            <w:shd w:val="clear" w:color="auto" w:fill="auto"/>
            <w:noWrap/>
            <w:vAlign w:val="bottom"/>
          </w:tcPr>
          <w:p w14:paraId="6256C97A" w14:textId="77777777" w:rsidR="004E00EF" w:rsidRPr="007B19C7" w:rsidRDefault="004E00EF" w:rsidP="004E00EF">
            <w:pPr>
              <w:spacing w:after="0" w:line="240" w:lineRule="auto"/>
              <w:jc w:val="both"/>
              <w:rPr>
                <w:rFonts w:ascii="Arial Narrow" w:eastAsia="Calibri" w:hAnsi="Arial Narrow" w:cs="Arial"/>
                <w:b/>
                <w:bCs/>
                <w:sz w:val="20"/>
                <w:szCs w:val="20"/>
              </w:rPr>
            </w:pPr>
            <w:r w:rsidRPr="007B19C7">
              <w:rPr>
                <w:rFonts w:ascii="Arial Narrow" w:hAnsi="Arial Narrow"/>
                <w:b/>
                <w:sz w:val="20"/>
                <w:szCs w:val="20"/>
              </w:rPr>
              <w:t>Solde</w:t>
            </w:r>
          </w:p>
        </w:tc>
        <w:tc>
          <w:tcPr>
            <w:tcW w:w="2000" w:type="dxa"/>
            <w:tcBorders>
              <w:top w:val="single" w:sz="4" w:space="0" w:color="auto"/>
              <w:left w:val="single" w:sz="4" w:space="0" w:color="auto"/>
              <w:bottom w:val="single" w:sz="4" w:space="0" w:color="auto"/>
              <w:right w:val="nil"/>
            </w:tcBorders>
            <w:shd w:val="clear" w:color="auto" w:fill="auto"/>
            <w:noWrap/>
            <w:vAlign w:val="bottom"/>
          </w:tcPr>
          <w:p w14:paraId="367C2763"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b/>
                <w:sz w:val="20"/>
                <w:szCs w:val="20"/>
              </w:rPr>
              <w:t>302303,11</w:t>
            </w:r>
          </w:p>
        </w:tc>
        <w:tc>
          <w:tcPr>
            <w:tcW w:w="200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3FFC12D" w14:textId="77777777" w:rsidR="004E00EF" w:rsidRPr="007B19C7" w:rsidRDefault="004E00EF" w:rsidP="00EC5C0F">
            <w:pPr>
              <w:spacing w:after="0" w:line="240" w:lineRule="auto"/>
              <w:jc w:val="right"/>
              <w:rPr>
                <w:rFonts w:ascii="Arial Narrow" w:eastAsia="Calibri" w:hAnsi="Arial Narrow" w:cs="Arial"/>
                <w:b/>
                <w:sz w:val="20"/>
                <w:szCs w:val="20"/>
              </w:rPr>
            </w:pPr>
            <w:r w:rsidRPr="007B19C7">
              <w:rPr>
                <w:rFonts w:ascii="Arial Narrow" w:hAnsi="Arial Narrow"/>
                <w:sz w:val="20"/>
                <w:szCs w:val="20"/>
              </w:rPr>
              <w:t>18 483,57</w:t>
            </w:r>
          </w:p>
        </w:tc>
      </w:tr>
    </w:tbl>
    <w:p w14:paraId="30B79D7B" w14:textId="05746537" w:rsidR="008C3C26" w:rsidRDefault="008C3C26" w:rsidP="008C3C26">
      <w:pPr>
        <w:spacing w:after="0" w:line="240" w:lineRule="auto"/>
        <w:jc w:val="both"/>
        <w:rPr>
          <w:rFonts w:ascii="Bookman Old Style" w:eastAsia="Calibri" w:hAnsi="Bookman Old Style" w:cs="Arial"/>
          <w:b/>
          <w:sz w:val="24"/>
          <w:szCs w:val="24"/>
          <w:lang w:val="en-GB" w:bidi="en-US"/>
        </w:rPr>
      </w:pPr>
    </w:p>
    <w:p w14:paraId="5D5B9737" w14:textId="339AD179" w:rsidR="004E00EF" w:rsidRDefault="004E00EF" w:rsidP="008C3C26">
      <w:pPr>
        <w:spacing w:after="0" w:line="240" w:lineRule="auto"/>
        <w:jc w:val="both"/>
        <w:rPr>
          <w:rFonts w:ascii="Bookman Old Style" w:eastAsia="Calibri" w:hAnsi="Bookman Old Style" w:cs="Arial"/>
          <w:b/>
          <w:sz w:val="24"/>
          <w:szCs w:val="24"/>
          <w:lang w:val="en-GB" w:bidi="en-US"/>
        </w:rPr>
      </w:pPr>
    </w:p>
    <w:p w14:paraId="0F215426" w14:textId="77777777" w:rsidR="008C3C26" w:rsidRPr="00A64F7F" w:rsidRDefault="008C3C26" w:rsidP="008921AA">
      <w:pPr>
        <w:numPr>
          <w:ilvl w:val="1"/>
          <w:numId w:val="37"/>
        </w:numPr>
        <w:spacing w:after="0" w:line="240" w:lineRule="auto"/>
        <w:contextualSpacing/>
        <w:jc w:val="both"/>
        <w:rPr>
          <w:rFonts w:ascii="Bookman Old Style" w:eastAsia="Calibri" w:hAnsi="Bookman Old Style" w:cs="Arial"/>
          <w:b/>
          <w:sz w:val="24"/>
          <w:szCs w:val="24"/>
        </w:rPr>
      </w:pPr>
      <w:r>
        <w:rPr>
          <w:rFonts w:ascii="Bookman Old Style" w:hAnsi="Bookman Old Style"/>
          <w:b/>
          <w:sz w:val="24"/>
        </w:rPr>
        <w:t xml:space="preserve">PLAN International : État de la situation financière au 30 septembre 2022 </w:t>
      </w:r>
    </w:p>
    <w:p w14:paraId="0CA5EED4" w14:textId="77777777" w:rsidR="008C3C26" w:rsidRPr="00F55B99" w:rsidRDefault="008C3C26" w:rsidP="008C3C26">
      <w:pPr>
        <w:spacing w:after="0" w:line="240" w:lineRule="auto"/>
        <w:jc w:val="both"/>
        <w:rPr>
          <w:rFonts w:ascii="Bookman Old Style" w:eastAsia="Calibri" w:hAnsi="Bookman Old Style" w:cs="Arial"/>
          <w:bCs/>
          <w:sz w:val="24"/>
          <w:szCs w:val="24"/>
          <w:lang w:bidi="en-US"/>
        </w:rPr>
      </w:pPr>
    </w:p>
    <w:p w14:paraId="54C7F742" w14:textId="07772AF7" w:rsidR="008C3C26" w:rsidRPr="00EC5C0F" w:rsidRDefault="008A6D63" w:rsidP="00EC5C0F">
      <w:pPr>
        <w:pStyle w:val="ListParagraph"/>
        <w:numPr>
          <w:ilvl w:val="2"/>
          <w:numId w:val="38"/>
        </w:numPr>
        <w:jc w:val="both"/>
        <w:rPr>
          <w:rFonts w:ascii="Bookman Old Style" w:hAnsi="Bookman Old Style"/>
          <w:sz w:val="24"/>
        </w:rPr>
      </w:pPr>
      <w:r w:rsidRPr="00EC5C0F">
        <w:rPr>
          <w:rFonts w:ascii="Bookman Old Style" w:hAnsi="Bookman Old Style"/>
          <w:sz w:val="24"/>
        </w:rPr>
        <w:t>Un montant de US$20,000 a été reçu de Plan International en juin 2021, pour la loi type sur la VBG. Le solde reporté au 1er avril 2022 est de N$ 114 658 (US$ 6 582).</w:t>
      </w:r>
    </w:p>
    <w:p w14:paraId="4B11DDCF" w14:textId="77777777" w:rsidR="00EC5C0F" w:rsidRPr="00EC5C0F" w:rsidRDefault="00EC5C0F" w:rsidP="00EC5C0F">
      <w:pPr>
        <w:pStyle w:val="ListParagraph"/>
        <w:ind w:firstLine="0"/>
        <w:jc w:val="both"/>
        <w:rPr>
          <w:rFonts w:ascii="Bookman Old Style" w:eastAsia="Calibri" w:hAnsi="Bookman Old Style" w:cs="Arial"/>
          <w:bCs/>
          <w:sz w:val="24"/>
          <w:szCs w:val="24"/>
        </w:rPr>
      </w:pPr>
    </w:p>
    <w:p w14:paraId="16657A51" w14:textId="40848C80" w:rsidR="008C3C26" w:rsidRPr="00EC5C0F" w:rsidRDefault="008C3C26" w:rsidP="008A6D63">
      <w:pPr>
        <w:pStyle w:val="ListParagraph"/>
        <w:numPr>
          <w:ilvl w:val="2"/>
          <w:numId w:val="38"/>
        </w:numPr>
        <w:jc w:val="both"/>
        <w:rPr>
          <w:rFonts w:ascii="Bookman Old Style" w:eastAsia="Calibri" w:hAnsi="Bookman Old Style" w:cs="Arial"/>
          <w:bCs/>
          <w:sz w:val="24"/>
          <w:szCs w:val="24"/>
        </w:rPr>
      </w:pPr>
      <w:r>
        <w:rPr>
          <w:rFonts w:ascii="Bookman Old Style" w:hAnsi="Bookman Old Style"/>
          <w:sz w:val="24"/>
        </w:rPr>
        <w:lastRenderedPageBreak/>
        <w:t>Une dépense de N$ 104.508,60 (US$ 6.000) a été engagée pour la consultation sur le bulletin d'information de la loi type sur la violence basée sur le genre.</w:t>
      </w:r>
    </w:p>
    <w:p w14:paraId="43B13E52" w14:textId="77777777" w:rsidR="00EC5C0F" w:rsidRPr="00EC5C0F" w:rsidRDefault="00EC5C0F" w:rsidP="00EC5C0F">
      <w:pPr>
        <w:jc w:val="both"/>
        <w:rPr>
          <w:rFonts w:ascii="Bookman Old Style" w:eastAsia="Calibri" w:hAnsi="Bookman Old Style" w:cs="Arial"/>
          <w:bCs/>
          <w:sz w:val="24"/>
          <w:szCs w:val="24"/>
        </w:rPr>
      </w:pPr>
    </w:p>
    <w:p w14:paraId="4E123903" w14:textId="51933D09" w:rsidR="008C3C26" w:rsidRPr="008A6D63" w:rsidRDefault="008C3C26" w:rsidP="008A6D63">
      <w:pPr>
        <w:pStyle w:val="ListParagraph"/>
        <w:numPr>
          <w:ilvl w:val="2"/>
          <w:numId w:val="38"/>
        </w:numPr>
        <w:jc w:val="both"/>
        <w:rPr>
          <w:rFonts w:ascii="Bookman Old Style" w:eastAsia="Calibri" w:hAnsi="Bookman Old Style" w:cs="Arial"/>
          <w:bCs/>
          <w:sz w:val="24"/>
          <w:szCs w:val="24"/>
        </w:rPr>
      </w:pPr>
      <w:r>
        <w:rPr>
          <w:rFonts w:ascii="Bookman Old Style" w:hAnsi="Bookman Old Style"/>
          <w:sz w:val="24"/>
        </w:rPr>
        <w:t>Le fonds a un solde de N$10,149.70 (US$582) au 30 septembre 2022. Vous trouverez ci-dessous le rapport financier au 30 septembre 2022.</w:t>
      </w:r>
    </w:p>
    <w:tbl>
      <w:tblPr>
        <w:tblW w:w="7517" w:type="dxa"/>
        <w:tblInd w:w="709" w:type="dxa"/>
        <w:tblLook w:val="04A0" w:firstRow="1" w:lastRow="0" w:firstColumn="1" w:lastColumn="0" w:noHBand="0" w:noVBand="1"/>
      </w:tblPr>
      <w:tblGrid>
        <w:gridCol w:w="4997"/>
        <w:gridCol w:w="1318"/>
        <w:gridCol w:w="1202"/>
      </w:tblGrid>
      <w:tr w:rsidR="008C3C26" w:rsidRPr="00A64F7F" w14:paraId="7511849E" w14:textId="77777777" w:rsidTr="00EC5C0F">
        <w:trPr>
          <w:trHeight w:val="299"/>
        </w:trPr>
        <w:tc>
          <w:tcPr>
            <w:tcW w:w="6315" w:type="dxa"/>
            <w:gridSpan w:val="2"/>
            <w:tcBorders>
              <w:top w:val="nil"/>
              <w:left w:val="nil"/>
              <w:bottom w:val="nil"/>
              <w:right w:val="nil"/>
            </w:tcBorders>
            <w:shd w:val="clear" w:color="auto" w:fill="auto"/>
            <w:noWrap/>
            <w:vAlign w:val="bottom"/>
            <w:hideMark/>
          </w:tcPr>
          <w:p w14:paraId="2C21FBC9" w14:textId="77777777" w:rsidR="008C3C26" w:rsidRPr="00A64F7F" w:rsidRDefault="008C3C26" w:rsidP="00CC759F">
            <w:pPr>
              <w:spacing w:after="0" w:line="240" w:lineRule="auto"/>
              <w:rPr>
                <w:rFonts w:ascii="Arial" w:eastAsia="Times New Roman" w:hAnsi="Arial" w:cs="Arial"/>
                <w:b/>
                <w:bCs/>
                <w:sz w:val="24"/>
                <w:szCs w:val="24"/>
                <w:lang w:val="en-GB"/>
              </w:rPr>
            </w:pPr>
          </w:p>
          <w:p w14:paraId="2EC523BD" w14:textId="77777777" w:rsidR="008C3C26" w:rsidRPr="00A64F7F" w:rsidRDefault="008C3C26" w:rsidP="00CC759F">
            <w:pPr>
              <w:spacing w:after="0" w:line="240" w:lineRule="auto"/>
              <w:rPr>
                <w:rFonts w:ascii="Arial" w:eastAsia="Times New Roman" w:hAnsi="Arial" w:cs="Arial"/>
                <w:b/>
                <w:bCs/>
                <w:sz w:val="24"/>
                <w:szCs w:val="24"/>
                <w:lang w:val="en-GB"/>
              </w:rPr>
            </w:pPr>
          </w:p>
        </w:tc>
        <w:tc>
          <w:tcPr>
            <w:tcW w:w="1202" w:type="dxa"/>
            <w:tcBorders>
              <w:top w:val="nil"/>
              <w:left w:val="nil"/>
              <w:bottom w:val="nil"/>
              <w:right w:val="nil"/>
            </w:tcBorders>
            <w:shd w:val="clear" w:color="auto" w:fill="auto"/>
            <w:noWrap/>
            <w:vAlign w:val="bottom"/>
            <w:hideMark/>
          </w:tcPr>
          <w:p w14:paraId="5BF8DBB5" w14:textId="77777777" w:rsidR="008C3C26" w:rsidRPr="00A64F7F" w:rsidRDefault="008C3C26" w:rsidP="00CC759F">
            <w:pPr>
              <w:spacing w:after="0" w:line="240" w:lineRule="auto"/>
              <w:rPr>
                <w:rFonts w:ascii="Arial" w:eastAsia="Times New Roman" w:hAnsi="Arial" w:cs="Arial"/>
                <w:b/>
                <w:bCs/>
                <w:sz w:val="24"/>
                <w:szCs w:val="24"/>
                <w:lang w:val="en-GB"/>
              </w:rPr>
            </w:pPr>
          </w:p>
        </w:tc>
      </w:tr>
      <w:tr w:rsidR="008C3C26" w:rsidRPr="00A64F7F" w14:paraId="4E7CFEC4" w14:textId="77777777" w:rsidTr="00EC5C0F">
        <w:trPr>
          <w:trHeight w:val="310"/>
        </w:trPr>
        <w:tc>
          <w:tcPr>
            <w:tcW w:w="4997" w:type="dxa"/>
            <w:tcBorders>
              <w:top w:val="nil"/>
              <w:left w:val="nil"/>
              <w:bottom w:val="nil"/>
              <w:right w:val="nil"/>
            </w:tcBorders>
            <w:shd w:val="clear" w:color="auto" w:fill="auto"/>
            <w:noWrap/>
            <w:vAlign w:val="bottom"/>
            <w:hideMark/>
          </w:tcPr>
          <w:p w14:paraId="3F451816"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p w14:paraId="58B9EBB1"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tc>
        <w:tc>
          <w:tcPr>
            <w:tcW w:w="1318" w:type="dxa"/>
            <w:tcBorders>
              <w:top w:val="nil"/>
              <w:left w:val="nil"/>
              <w:bottom w:val="nil"/>
              <w:right w:val="nil"/>
            </w:tcBorders>
            <w:shd w:val="clear" w:color="auto" w:fill="auto"/>
            <w:noWrap/>
            <w:vAlign w:val="bottom"/>
            <w:hideMark/>
          </w:tcPr>
          <w:p w14:paraId="6F93CE1F"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p w14:paraId="14577FE3"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p w14:paraId="7BD1EE6B"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p w14:paraId="3FB47F99"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tc>
        <w:tc>
          <w:tcPr>
            <w:tcW w:w="1202" w:type="dxa"/>
            <w:tcBorders>
              <w:top w:val="nil"/>
              <w:left w:val="nil"/>
              <w:bottom w:val="nil"/>
              <w:right w:val="nil"/>
            </w:tcBorders>
            <w:shd w:val="clear" w:color="auto" w:fill="auto"/>
            <w:noWrap/>
            <w:vAlign w:val="bottom"/>
            <w:hideMark/>
          </w:tcPr>
          <w:p w14:paraId="0A8FECD3" w14:textId="77777777" w:rsidR="008C3C26" w:rsidRPr="00A64F7F" w:rsidRDefault="008C3C26" w:rsidP="00CC759F">
            <w:pPr>
              <w:spacing w:after="0" w:line="240" w:lineRule="auto"/>
              <w:rPr>
                <w:rFonts w:ascii="Times New Roman" w:eastAsia="Times New Roman" w:hAnsi="Times New Roman" w:cs="Times New Roman"/>
                <w:sz w:val="20"/>
                <w:szCs w:val="20"/>
                <w:lang w:val="en-GB"/>
              </w:rPr>
            </w:pPr>
          </w:p>
        </w:tc>
      </w:tr>
      <w:tr w:rsidR="008C3C26" w:rsidRPr="00A64F7F" w14:paraId="22EFA7FF" w14:textId="77777777" w:rsidTr="00EC5C0F">
        <w:trPr>
          <w:trHeight w:val="299"/>
        </w:trPr>
        <w:tc>
          <w:tcPr>
            <w:tcW w:w="499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46942C" w14:textId="77777777" w:rsidR="008C3C26" w:rsidRPr="008A6D63" w:rsidRDefault="008C3C26" w:rsidP="00CC759F">
            <w:pPr>
              <w:spacing w:after="0" w:line="240" w:lineRule="auto"/>
              <w:rPr>
                <w:rFonts w:ascii="Arial" w:eastAsia="Times New Roman" w:hAnsi="Arial" w:cs="Arial"/>
                <w:b/>
                <w:bCs/>
              </w:rPr>
            </w:pPr>
            <w:r>
              <w:rPr>
                <w:rFonts w:ascii="Arial" w:hAnsi="Arial"/>
                <w:b/>
              </w:rPr>
              <w:t>Relevé de responsabilité du Fonds 30 septembre 2022</w:t>
            </w:r>
          </w:p>
        </w:tc>
        <w:tc>
          <w:tcPr>
            <w:tcW w:w="1318" w:type="dxa"/>
            <w:tcBorders>
              <w:top w:val="single" w:sz="8" w:space="0" w:color="auto"/>
              <w:left w:val="nil"/>
              <w:bottom w:val="single" w:sz="4" w:space="0" w:color="auto"/>
              <w:right w:val="single" w:sz="4" w:space="0" w:color="auto"/>
            </w:tcBorders>
            <w:shd w:val="clear" w:color="auto" w:fill="auto"/>
            <w:noWrap/>
            <w:vAlign w:val="bottom"/>
            <w:hideMark/>
          </w:tcPr>
          <w:p w14:paraId="2AAF3633" w14:textId="77777777" w:rsidR="008C3C26" w:rsidRPr="008A6D63" w:rsidRDefault="008C3C26" w:rsidP="00CC759F">
            <w:pPr>
              <w:spacing w:after="0" w:line="240" w:lineRule="auto"/>
              <w:jc w:val="center"/>
              <w:rPr>
                <w:rFonts w:ascii="Calibri" w:eastAsia="Times New Roman" w:hAnsi="Calibri" w:cs="Calibri"/>
                <w:b/>
                <w:bCs/>
              </w:rPr>
            </w:pPr>
            <w:r>
              <w:rPr>
                <w:rFonts w:ascii="Calibri" w:hAnsi="Calibri"/>
                <w:b/>
              </w:rPr>
              <w:t>RÉEL</w:t>
            </w:r>
          </w:p>
        </w:tc>
        <w:tc>
          <w:tcPr>
            <w:tcW w:w="1202" w:type="dxa"/>
            <w:tcBorders>
              <w:top w:val="single" w:sz="8" w:space="0" w:color="auto"/>
              <w:left w:val="nil"/>
              <w:bottom w:val="single" w:sz="4" w:space="0" w:color="auto"/>
              <w:right w:val="single" w:sz="8" w:space="0" w:color="auto"/>
            </w:tcBorders>
            <w:shd w:val="clear" w:color="auto" w:fill="auto"/>
            <w:noWrap/>
            <w:vAlign w:val="bottom"/>
            <w:hideMark/>
          </w:tcPr>
          <w:p w14:paraId="1EBF10AE" w14:textId="77777777" w:rsidR="008C3C26" w:rsidRPr="008A6D63" w:rsidRDefault="008C3C26" w:rsidP="00CC759F">
            <w:pPr>
              <w:spacing w:after="0" w:line="240" w:lineRule="auto"/>
              <w:jc w:val="center"/>
              <w:rPr>
                <w:rFonts w:ascii="Calibri" w:eastAsia="Times New Roman" w:hAnsi="Calibri" w:cs="Calibri"/>
                <w:b/>
                <w:bCs/>
              </w:rPr>
            </w:pPr>
            <w:r>
              <w:rPr>
                <w:rFonts w:ascii="Calibri" w:hAnsi="Calibri"/>
                <w:b/>
              </w:rPr>
              <w:t>RÉEL</w:t>
            </w:r>
          </w:p>
        </w:tc>
      </w:tr>
      <w:tr w:rsidR="008C3C26" w:rsidRPr="00A64F7F" w14:paraId="34B17AA0" w14:textId="77777777" w:rsidTr="00EC5C0F">
        <w:trPr>
          <w:trHeight w:val="299"/>
        </w:trPr>
        <w:tc>
          <w:tcPr>
            <w:tcW w:w="4997" w:type="dxa"/>
            <w:tcBorders>
              <w:top w:val="nil"/>
              <w:left w:val="single" w:sz="8" w:space="0" w:color="auto"/>
              <w:bottom w:val="single" w:sz="4" w:space="0" w:color="auto"/>
              <w:right w:val="nil"/>
            </w:tcBorders>
            <w:shd w:val="clear" w:color="auto" w:fill="auto"/>
            <w:noWrap/>
            <w:vAlign w:val="bottom"/>
            <w:hideMark/>
          </w:tcPr>
          <w:p w14:paraId="5F0CB1BC" w14:textId="77777777" w:rsidR="008C3C26" w:rsidRPr="008A6D63" w:rsidRDefault="008C3C26" w:rsidP="00CC759F">
            <w:pPr>
              <w:spacing w:after="0" w:line="240" w:lineRule="auto"/>
              <w:rPr>
                <w:rFonts w:ascii="Arial" w:eastAsia="Times New Roman" w:hAnsi="Arial" w:cs="Arial"/>
              </w:rPr>
            </w:pPr>
            <w:r>
              <w:rPr>
                <w:rFonts w:ascii="Arial" w:hAnsi="Arial"/>
              </w:rPr>
              <w:t> </w:t>
            </w:r>
          </w:p>
        </w:tc>
        <w:tc>
          <w:tcPr>
            <w:tcW w:w="1318" w:type="dxa"/>
            <w:tcBorders>
              <w:top w:val="nil"/>
              <w:left w:val="single" w:sz="4" w:space="0" w:color="auto"/>
              <w:bottom w:val="single" w:sz="4" w:space="0" w:color="auto"/>
              <w:right w:val="nil"/>
            </w:tcBorders>
            <w:shd w:val="clear" w:color="auto" w:fill="auto"/>
            <w:noWrap/>
            <w:vAlign w:val="bottom"/>
            <w:hideMark/>
          </w:tcPr>
          <w:p w14:paraId="050B59CF" w14:textId="77777777" w:rsidR="008C3C26" w:rsidRPr="008A6D63" w:rsidRDefault="008C3C26" w:rsidP="00CC759F">
            <w:pPr>
              <w:spacing w:after="0" w:line="240" w:lineRule="auto"/>
              <w:jc w:val="center"/>
              <w:rPr>
                <w:rFonts w:ascii="Arial" w:eastAsia="Times New Roman" w:hAnsi="Arial" w:cs="Arial"/>
                <w:b/>
                <w:bCs/>
              </w:rPr>
            </w:pPr>
            <w:r>
              <w:rPr>
                <w:rFonts w:ascii="Arial" w:hAnsi="Arial"/>
                <w:b/>
              </w:rPr>
              <w:t xml:space="preserve"> NAD </w:t>
            </w:r>
          </w:p>
        </w:tc>
        <w:tc>
          <w:tcPr>
            <w:tcW w:w="1202" w:type="dxa"/>
            <w:tcBorders>
              <w:top w:val="nil"/>
              <w:left w:val="single" w:sz="4" w:space="0" w:color="auto"/>
              <w:bottom w:val="single" w:sz="4" w:space="0" w:color="auto"/>
              <w:right w:val="single" w:sz="8" w:space="0" w:color="auto"/>
            </w:tcBorders>
            <w:shd w:val="clear" w:color="auto" w:fill="auto"/>
            <w:noWrap/>
            <w:vAlign w:val="bottom"/>
            <w:hideMark/>
          </w:tcPr>
          <w:p w14:paraId="1F810BE1" w14:textId="77777777" w:rsidR="008C3C26" w:rsidRPr="008A6D63" w:rsidRDefault="008C3C26" w:rsidP="00CC759F">
            <w:pPr>
              <w:spacing w:after="0" w:line="240" w:lineRule="auto"/>
              <w:jc w:val="center"/>
              <w:rPr>
                <w:rFonts w:ascii="Arial" w:eastAsia="Times New Roman" w:hAnsi="Arial" w:cs="Arial"/>
                <w:b/>
                <w:bCs/>
              </w:rPr>
            </w:pPr>
            <w:r>
              <w:rPr>
                <w:rFonts w:ascii="Arial" w:hAnsi="Arial"/>
                <w:b/>
              </w:rPr>
              <w:t xml:space="preserve"> US$ </w:t>
            </w:r>
          </w:p>
        </w:tc>
      </w:tr>
      <w:tr w:rsidR="008C3C26" w:rsidRPr="00A64F7F" w14:paraId="3CE06469" w14:textId="77777777" w:rsidTr="00EC5C0F">
        <w:trPr>
          <w:trHeight w:val="299"/>
        </w:trPr>
        <w:tc>
          <w:tcPr>
            <w:tcW w:w="4997" w:type="dxa"/>
            <w:tcBorders>
              <w:top w:val="nil"/>
              <w:left w:val="single" w:sz="8" w:space="0" w:color="auto"/>
              <w:bottom w:val="nil"/>
              <w:right w:val="nil"/>
            </w:tcBorders>
            <w:shd w:val="clear" w:color="auto" w:fill="auto"/>
            <w:noWrap/>
            <w:vAlign w:val="bottom"/>
            <w:hideMark/>
          </w:tcPr>
          <w:p w14:paraId="17BA1555" w14:textId="77777777" w:rsidR="008C3C26" w:rsidRPr="008A6D63" w:rsidRDefault="008C3C26" w:rsidP="00CC759F">
            <w:pPr>
              <w:spacing w:after="0" w:line="240" w:lineRule="auto"/>
              <w:rPr>
                <w:rFonts w:ascii="Arial" w:eastAsia="Times New Roman" w:hAnsi="Arial" w:cs="Arial"/>
                <w:b/>
                <w:bCs/>
                <w:u w:val="single"/>
              </w:rPr>
            </w:pPr>
            <w:r>
              <w:rPr>
                <w:rFonts w:ascii="Arial" w:hAnsi="Arial"/>
                <w:b/>
                <w:u w:val="single"/>
              </w:rPr>
              <w:t>Recettes :</w:t>
            </w:r>
          </w:p>
        </w:tc>
        <w:tc>
          <w:tcPr>
            <w:tcW w:w="1318" w:type="dxa"/>
            <w:tcBorders>
              <w:top w:val="nil"/>
              <w:left w:val="single" w:sz="4" w:space="0" w:color="auto"/>
              <w:bottom w:val="nil"/>
              <w:right w:val="single" w:sz="4" w:space="0" w:color="auto"/>
            </w:tcBorders>
            <w:shd w:val="clear" w:color="auto" w:fill="auto"/>
            <w:noWrap/>
            <w:vAlign w:val="bottom"/>
            <w:hideMark/>
          </w:tcPr>
          <w:p w14:paraId="58D1231D" w14:textId="77777777" w:rsidR="008C3C26" w:rsidRPr="008A6D63" w:rsidRDefault="008C3C26" w:rsidP="00CC759F">
            <w:pPr>
              <w:spacing w:after="0" w:line="240" w:lineRule="auto"/>
              <w:rPr>
                <w:rFonts w:ascii="Calibri" w:eastAsia="Times New Roman" w:hAnsi="Calibri" w:cs="Calibri"/>
              </w:rPr>
            </w:pPr>
            <w:r>
              <w:rPr>
                <w:rFonts w:ascii="Calibri" w:hAnsi="Calibri"/>
              </w:rPr>
              <w:t> </w:t>
            </w:r>
          </w:p>
        </w:tc>
        <w:tc>
          <w:tcPr>
            <w:tcW w:w="1202" w:type="dxa"/>
            <w:tcBorders>
              <w:top w:val="nil"/>
              <w:left w:val="nil"/>
              <w:bottom w:val="nil"/>
              <w:right w:val="single" w:sz="8" w:space="0" w:color="auto"/>
            </w:tcBorders>
            <w:shd w:val="clear" w:color="auto" w:fill="auto"/>
            <w:noWrap/>
            <w:vAlign w:val="bottom"/>
            <w:hideMark/>
          </w:tcPr>
          <w:p w14:paraId="6A3CE314" w14:textId="77777777" w:rsidR="008C3C26" w:rsidRPr="008A6D63" w:rsidRDefault="008C3C26" w:rsidP="00CC759F">
            <w:pPr>
              <w:spacing w:after="0" w:line="240" w:lineRule="auto"/>
              <w:rPr>
                <w:rFonts w:ascii="Calibri" w:eastAsia="Times New Roman" w:hAnsi="Calibri" w:cs="Calibri"/>
              </w:rPr>
            </w:pPr>
            <w:r>
              <w:rPr>
                <w:rFonts w:ascii="Calibri" w:hAnsi="Calibri"/>
              </w:rPr>
              <w:t> </w:t>
            </w:r>
          </w:p>
        </w:tc>
      </w:tr>
      <w:tr w:rsidR="008C3C26" w:rsidRPr="00A64F7F" w14:paraId="30D48EBD" w14:textId="77777777" w:rsidTr="00EC5C0F">
        <w:trPr>
          <w:trHeight w:val="299"/>
        </w:trPr>
        <w:tc>
          <w:tcPr>
            <w:tcW w:w="4997" w:type="dxa"/>
            <w:tcBorders>
              <w:top w:val="nil"/>
              <w:left w:val="single" w:sz="8" w:space="0" w:color="auto"/>
              <w:bottom w:val="nil"/>
              <w:right w:val="nil"/>
            </w:tcBorders>
            <w:shd w:val="clear" w:color="auto" w:fill="auto"/>
            <w:noWrap/>
            <w:vAlign w:val="bottom"/>
            <w:hideMark/>
          </w:tcPr>
          <w:p w14:paraId="0778EA70" w14:textId="77777777" w:rsidR="008C3C26" w:rsidRPr="008A6D63" w:rsidRDefault="008C3C26" w:rsidP="00CC759F">
            <w:pPr>
              <w:spacing w:after="0" w:line="240" w:lineRule="auto"/>
              <w:rPr>
                <w:rFonts w:ascii="Arial" w:eastAsia="Times New Roman" w:hAnsi="Arial" w:cs="Arial"/>
              </w:rPr>
            </w:pPr>
            <w:r>
              <w:rPr>
                <w:rFonts w:ascii="Arial" w:hAnsi="Arial"/>
              </w:rPr>
              <w:t>Solde reporté au 1</w:t>
            </w:r>
            <w:r>
              <w:rPr>
                <w:rFonts w:ascii="Arial" w:hAnsi="Arial"/>
                <w:vertAlign w:val="superscript"/>
              </w:rPr>
              <w:t>er</w:t>
            </w:r>
            <w:r>
              <w:rPr>
                <w:rFonts w:ascii="Arial" w:hAnsi="Arial"/>
              </w:rPr>
              <w:t xml:space="preserve"> avril 2022</w:t>
            </w:r>
          </w:p>
        </w:tc>
        <w:tc>
          <w:tcPr>
            <w:tcW w:w="1318" w:type="dxa"/>
            <w:tcBorders>
              <w:top w:val="nil"/>
              <w:left w:val="single" w:sz="4" w:space="0" w:color="auto"/>
              <w:bottom w:val="nil"/>
              <w:right w:val="single" w:sz="4" w:space="0" w:color="auto"/>
            </w:tcBorders>
            <w:shd w:val="clear" w:color="auto" w:fill="auto"/>
            <w:noWrap/>
            <w:vAlign w:val="bottom"/>
            <w:hideMark/>
          </w:tcPr>
          <w:p w14:paraId="44C67971" w14:textId="77777777" w:rsidR="008C3C26" w:rsidRPr="008A6D63" w:rsidRDefault="008C3C26" w:rsidP="00CC759F">
            <w:pPr>
              <w:spacing w:after="0" w:line="240" w:lineRule="auto"/>
              <w:rPr>
                <w:rFonts w:ascii="Arial" w:eastAsia="Times New Roman" w:hAnsi="Arial" w:cs="Arial"/>
              </w:rPr>
            </w:pPr>
            <w:r>
              <w:rPr>
                <w:rFonts w:ascii="Arial" w:hAnsi="Arial"/>
              </w:rPr>
              <w:t>114658,30</w:t>
            </w:r>
          </w:p>
        </w:tc>
        <w:tc>
          <w:tcPr>
            <w:tcW w:w="1202" w:type="dxa"/>
            <w:tcBorders>
              <w:top w:val="nil"/>
              <w:left w:val="nil"/>
              <w:bottom w:val="nil"/>
              <w:right w:val="single" w:sz="8" w:space="0" w:color="auto"/>
            </w:tcBorders>
            <w:shd w:val="clear" w:color="auto" w:fill="auto"/>
            <w:noWrap/>
            <w:vAlign w:val="bottom"/>
            <w:hideMark/>
          </w:tcPr>
          <w:p w14:paraId="0D2DCB15" w14:textId="060F5E16" w:rsidR="008C3C26" w:rsidRPr="008A6D63" w:rsidRDefault="00C977FB" w:rsidP="00CC759F">
            <w:pPr>
              <w:spacing w:after="0" w:line="240" w:lineRule="auto"/>
              <w:rPr>
                <w:rFonts w:ascii="Arial" w:eastAsia="Times New Roman" w:hAnsi="Arial" w:cs="Arial"/>
              </w:rPr>
            </w:pPr>
            <w:r>
              <w:rPr>
                <w:rFonts w:ascii="Arial" w:hAnsi="Arial"/>
              </w:rPr>
              <w:t xml:space="preserve"> 6582</w:t>
            </w:r>
          </w:p>
        </w:tc>
      </w:tr>
      <w:tr w:rsidR="008C3C26" w:rsidRPr="00A64F7F" w14:paraId="636E309D" w14:textId="77777777" w:rsidTr="00EC5C0F">
        <w:trPr>
          <w:trHeight w:val="299"/>
        </w:trPr>
        <w:tc>
          <w:tcPr>
            <w:tcW w:w="4997" w:type="dxa"/>
            <w:tcBorders>
              <w:top w:val="single" w:sz="4" w:space="0" w:color="auto"/>
              <w:left w:val="single" w:sz="8" w:space="0" w:color="auto"/>
              <w:bottom w:val="single" w:sz="4" w:space="0" w:color="auto"/>
              <w:right w:val="nil"/>
            </w:tcBorders>
            <w:shd w:val="clear" w:color="auto" w:fill="auto"/>
            <w:noWrap/>
            <w:vAlign w:val="bottom"/>
            <w:hideMark/>
          </w:tcPr>
          <w:p w14:paraId="6574C5A5" w14:textId="77777777" w:rsidR="008C3C26" w:rsidRPr="008A6D63" w:rsidRDefault="008C3C26" w:rsidP="00CC759F">
            <w:pPr>
              <w:spacing w:after="0" w:line="240" w:lineRule="auto"/>
              <w:rPr>
                <w:rFonts w:ascii="Arial" w:eastAsia="Times New Roman" w:hAnsi="Arial" w:cs="Arial"/>
              </w:rPr>
            </w:pPr>
            <w:r>
              <w:rPr>
                <w:rFonts w:ascii="Arial" w:hAnsi="Arial"/>
              </w:rPr>
              <w:t>Total des recettes</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F34BD" w14:textId="77777777" w:rsidR="008C3C26" w:rsidRPr="008A6D63" w:rsidRDefault="008C3C26" w:rsidP="00CC759F">
            <w:pPr>
              <w:spacing w:after="0" w:line="240" w:lineRule="auto"/>
              <w:rPr>
                <w:rFonts w:ascii="Arial" w:eastAsia="Times New Roman" w:hAnsi="Arial" w:cs="Arial"/>
              </w:rPr>
            </w:pPr>
            <w:r>
              <w:rPr>
                <w:rFonts w:ascii="Arial" w:hAnsi="Arial"/>
              </w:rPr>
              <w:t xml:space="preserve">114 658,30 </w:t>
            </w:r>
          </w:p>
        </w:tc>
        <w:tc>
          <w:tcPr>
            <w:tcW w:w="1202" w:type="dxa"/>
            <w:tcBorders>
              <w:top w:val="single" w:sz="4" w:space="0" w:color="auto"/>
              <w:left w:val="nil"/>
              <w:bottom w:val="single" w:sz="4" w:space="0" w:color="auto"/>
              <w:right w:val="single" w:sz="8" w:space="0" w:color="auto"/>
            </w:tcBorders>
            <w:shd w:val="clear" w:color="auto" w:fill="auto"/>
            <w:noWrap/>
            <w:vAlign w:val="bottom"/>
            <w:hideMark/>
          </w:tcPr>
          <w:p w14:paraId="672722C8" w14:textId="0857FEF1" w:rsidR="008C3C26" w:rsidRPr="008A6D63" w:rsidRDefault="00C977FB" w:rsidP="00CC759F">
            <w:pPr>
              <w:spacing w:after="0" w:line="240" w:lineRule="auto"/>
              <w:rPr>
                <w:rFonts w:ascii="Arial" w:eastAsia="Times New Roman" w:hAnsi="Arial" w:cs="Arial"/>
              </w:rPr>
            </w:pPr>
            <w:r>
              <w:rPr>
                <w:rFonts w:ascii="Arial" w:hAnsi="Arial"/>
              </w:rPr>
              <w:t xml:space="preserve"> 6582</w:t>
            </w:r>
          </w:p>
        </w:tc>
      </w:tr>
      <w:tr w:rsidR="008C3C26" w:rsidRPr="00A64F7F" w14:paraId="451C00AD" w14:textId="77777777" w:rsidTr="00EC5C0F">
        <w:trPr>
          <w:trHeight w:val="299"/>
        </w:trPr>
        <w:tc>
          <w:tcPr>
            <w:tcW w:w="4997" w:type="dxa"/>
            <w:tcBorders>
              <w:top w:val="nil"/>
              <w:left w:val="single" w:sz="8" w:space="0" w:color="auto"/>
              <w:bottom w:val="nil"/>
              <w:right w:val="nil"/>
            </w:tcBorders>
            <w:shd w:val="clear" w:color="auto" w:fill="auto"/>
            <w:noWrap/>
            <w:vAlign w:val="bottom"/>
            <w:hideMark/>
          </w:tcPr>
          <w:p w14:paraId="154BEEB3" w14:textId="77777777" w:rsidR="008C3C26" w:rsidRPr="008A6D63" w:rsidRDefault="008C3C26" w:rsidP="00CC759F">
            <w:pPr>
              <w:spacing w:after="0" w:line="240" w:lineRule="auto"/>
              <w:rPr>
                <w:rFonts w:ascii="Arial" w:eastAsia="Times New Roman" w:hAnsi="Arial" w:cs="Arial"/>
                <w:lang w:val="en-GB"/>
              </w:rPr>
            </w:pPr>
          </w:p>
        </w:tc>
        <w:tc>
          <w:tcPr>
            <w:tcW w:w="1318" w:type="dxa"/>
            <w:tcBorders>
              <w:top w:val="nil"/>
              <w:left w:val="single" w:sz="4" w:space="0" w:color="auto"/>
              <w:bottom w:val="nil"/>
              <w:right w:val="single" w:sz="4" w:space="0" w:color="auto"/>
            </w:tcBorders>
            <w:shd w:val="clear" w:color="auto" w:fill="auto"/>
            <w:noWrap/>
            <w:vAlign w:val="bottom"/>
            <w:hideMark/>
          </w:tcPr>
          <w:p w14:paraId="1D10FF94" w14:textId="77777777" w:rsidR="008C3C26" w:rsidRPr="008A6D63" w:rsidRDefault="008C3C26" w:rsidP="00CC759F">
            <w:pPr>
              <w:spacing w:after="0" w:line="240" w:lineRule="auto"/>
              <w:rPr>
                <w:rFonts w:ascii="Arial" w:eastAsia="Times New Roman" w:hAnsi="Arial" w:cs="Arial"/>
              </w:rPr>
            </w:pPr>
            <w:r>
              <w:rPr>
                <w:rFonts w:ascii="Arial" w:hAnsi="Arial"/>
              </w:rPr>
              <w:t> </w:t>
            </w:r>
          </w:p>
        </w:tc>
        <w:tc>
          <w:tcPr>
            <w:tcW w:w="1202" w:type="dxa"/>
            <w:tcBorders>
              <w:top w:val="nil"/>
              <w:left w:val="nil"/>
              <w:bottom w:val="nil"/>
              <w:right w:val="single" w:sz="8" w:space="0" w:color="auto"/>
            </w:tcBorders>
            <w:shd w:val="clear" w:color="auto" w:fill="auto"/>
            <w:noWrap/>
            <w:vAlign w:val="bottom"/>
            <w:hideMark/>
          </w:tcPr>
          <w:p w14:paraId="30298D3C" w14:textId="77777777" w:rsidR="008C3C26" w:rsidRPr="008A6D63" w:rsidRDefault="008C3C26" w:rsidP="00CC759F">
            <w:pPr>
              <w:spacing w:after="0" w:line="240" w:lineRule="auto"/>
              <w:rPr>
                <w:rFonts w:ascii="Arial" w:eastAsia="Times New Roman" w:hAnsi="Arial" w:cs="Arial"/>
              </w:rPr>
            </w:pPr>
            <w:r>
              <w:rPr>
                <w:rFonts w:ascii="Arial" w:hAnsi="Arial"/>
              </w:rPr>
              <w:t> </w:t>
            </w:r>
          </w:p>
        </w:tc>
      </w:tr>
      <w:tr w:rsidR="008C3C26" w:rsidRPr="00A64F7F" w14:paraId="00FC472E" w14:textId="77777777" w:rsidTr="00EC5C0F">
        <w:trPr>
          <w:trHeight w:val="299"/>
        </w:trPr>
        <w:tc>
          <w:tcPr>
            <w:tcW w:w="4997" w:type="dxa"/>
            <w:tcBorders>
              <w:top w:val="nil"/>
              <w:left w:val="single" w:sz="8" w:space="0" w:color="auto"/>
              <w:bottom w:val="nil"/>
              <w:right w:val="nil"/>
            </w:tcBorders>
            <w:shd w:val="clear" w:color="auto" w:fill="auto"/>
            <w:noWrap/>
            <w:vAlign w:val="bottom"/>
            <w:hideMark/>
          </w:tcPr>
          <w:p w14:paraId="5E52CA6E" w14:textId="77777777" w:rsidR="008C3C26" w:rsidRPr="008A6D63" w:rsidRDefault="008C3C26" w:rsidP="00CC759F">
            <w:pPr>
              <w:spacing w:after="0" w:line="240" w:lineRule="auto"/>
              <w:rPr>
                <w:rFonts w:ascii="Arial" w:eastAsia="Times New Roman" w:hAnsi="Arial" w:cs="Arial"/>
                <w:b/>
                <w:bCs/>
                <w:u w:val="single"/>
              </w:rPr>
            </w:pPr>
            <w:proofErr w:type="gramStart"/>
            <w:r>
              <w:rPr>
                <w:rFonts w:ascii="Arial" w:hAnsi="Arial"/>
                <w:b/>
                <w:u w:val="single"/>
              </w:rPr>
              <w:t>Dépenses:</w:t>
            </w:r>
            <w:proofErr w:type="gramEnd"/>
          </w:p>
        </w:tc>
        <w:tc>
          <w:tcPr>
            <w:tcW w:w="1318" w:type="dxa"/>
            <w:tcBorders>
              <w:top w:val="nil"/>
              <w:left w:val="single" w:sz="4" w:space="0" w:color="auto"/>
              <w:bottom w:val="nil"/>
              <w:right w:val="single" w:sz="4" w:space="0" w:color="auto"/>
            </w:tcBorders>
            <w:shd w:val="clear" w:color="auto" w:fill="auto"/>
            <w:noWrap/>
            <w:vAlign w:val="bottom"/>
            <w:hideMark/>
          </w:tcPr>
          <w:p w14:paraId="292CD925" w14:textId="77777777" w:rsidR="008C3C26" w:rsidRPr="008A6D63" w:rsidRDefault="008C3C26" w:rsidP="00CC759F">
            <w:pPr>
              <w:spacing w:after="0" w:line="240" w:lineRule="auto"/>
              <w:rPr>
                <w:rFonts w:ascii="Arial" w:eastAsia="Times New Roman" w:hAnsi="Arial" w:cs="Arial"/>
              </w:rPr>
            </w:pPr>
            <w:r>
              <w:rPr>
                <w:rFonts w:ascii="Arial" w:hAnsi="Arial"/>
              </w:rPr>
              <w:t> </w:t>
            </w:r>
          </w:p>
        </w:tc>
        <w:tc>
          <w:tcPr>
            <w:tcW w:w="1202" w:type="dxa"/>
            <w:tcBorders>
              <w:top w:val="nil"/>
              <w:left w:val="nil"/>
              <w:bottom w:val="nil"/>
              <w:right w:val="single" w:sz="8" w:space="0" w:color="auto"/>
            </w:tcBorders>
            <w:shd w:val="clear" w:color="auto" w:fill="auto"/>
            <w:noWrap/>
            <w:vAlign w:val="bottom"/>
            <w:hideMark/>
          </w:tcPr>
          <w:p w14:paraId="38932B98" w14:textId="77777777" w:rsidR="008C3C26" w:rsidRPr="008A6D63" w:rsidRDefault="008C3C26" w:rsidP="00CC759F">
            <w:pPr>
              <w:spacing w:after="0" w:line="240" w:lineRule="auto"/>
              <w:rPr>
                <w:rFonts w:ascii="Arial" w:eastAsia="Times New Roman" w:hAnsi="Arial" w:cs="Arial"/>
              </w:rPr>
            </w:pPr>
            <w:r>
              <w:rPr>
                <w:rFonts w:ascii="Arial" w:hAnsi="Arial"/>
              </w:rPr>
              <w:t> </w:t>
            </w:r>
          </w:p>
        </w:tc>
      </w:tr>
      <w:tr w:rsidR="008C3C26" w:rsidRPr="00A64F7F" w14:paraId="54D25C36" w14:textId="77777777" w:rsidTr="00EC5C0F">
        <w:trPr>
          <w:trHeight w:val="299"/>
        </w:trPr>
        <w:tc>
          <w:tcPr>
            <w:tcW w:w="4997" w:type="dxa"/>
            <w:tcBorders>
              <w:top w:val="nil"/>
              <w:left w:val="single" w:sz="8" w:space="0" w:color="auto"/>
              <w:bottom w:val="nil"/>
              <w:right w:val="nil"/>
            </w:tcBorders>
            <w:shd w:val="clear" w:color="auto" w:fill="auto"/>
            <w:noWrap/>
            <w:vAlign w:val="bottom"/>
            <w:hideMark/>
          </w:tcPr>
          <w:p w14:paraId="694364D5" w14:textId="77777777" w:rsidR="008C3C26" w:rsidRPr="008A6D63" w:rsidRDefault="008C3C26" w:rsidP="00CC759F">
            <w:pPr>
              <w:spacing w:after="0" w:line="240" w:lineRule="auto"/>
              <w:rPr>
                <w:rFonts w:ascii="Arial" w:eastAsia="Times New Roman" w:hAnsi="Arial" w:cs="Arial"/>
              </w:rPr>
            </w:pPr>
            <w:r>
              <w:rPr>
                <w:rFonts w:ascii="Arial" w:hAnsi="Arial"/>
              </w:rPr>
              <w:t>Consultation - Bulletin d'information sur la violence basée sur le genre</w:t>
            </w:r>
          </w:p>
        </w:tc>
        <w:tc>
          <w:tcPr>
            <w:tcW w:w="1318" w:type="dxa"/>
            <w:tcBorders>
              <w:top w:val="nil"/>
              <w:left w:val="single" w:sz="4" w:space="0" w:color="auto"/>
              <w:bottom w:val="nil"/>
              <w:right w:val="single" w:sz="4" w:space="0" w:color="auto"/>
            </w:tcBorders>
            <w:shd w:val="clear" w:color="auto" w:fill="auto"/>
            <w:noWrap/>
            <w:vAlign w:val="bottom"/>
            <w:hideMark/>
          </w:tcPr>
          <w:p w14:paraId="59803744" w14:textId="77777777" w:rsidR="008C3C26" w:rsidRPr="008A6D63" w:rsidRDefault="008C3C26" w:rsidP="00CC759F">
            <w:pPr>
              <w:spacing w:after="0" w:line="240" w:lineRule="auto"/>
              <w:rPr>
                <w:rFonts w:ascii="Arial" w:eastAsia="Times New Roman" w:hAnsi="Arial" w:cs="Arial"/>
              </w:rPr>
            </w:pPr>
            <w:r>
              <w:rPr>
                <w:rFonts w:ascii="Arial" w:hAnsi="Arial"/>
              </w:rPr>
              <w:t xml:space="preserve">   104508,60 </w:t>
            </w:r>
          </w:p>
        </w:tc>
        <w:tc>
          <w:tcPr>
            <w:tcW w:w="1202" w:type="dxa"/>
            <w:tcBorders>
              <w:top w:val="nil"/>
              <w:left w:val="nil"/>
              <w:bottom w:val="nil"/>
              <w:right w:val="single" w:sz="8" w:space="0" w:color="auto"/>
            </w:tcBorders>
            <w:shd w:val="clear" w:color="auto" w:fill="auto"/>
            <w:noWrap/>
            <w:vAlign w:val="bottom"/>
            <w:hideMark/>
          </w:tcPr>
          <w:p w14:paraId="26D5029F" w14:textId="77777777" w:rsidR="008C3C26" w:rsidRPr="008A6D63" w:rsidRDefault="008C3C26" w:rsidP="00CC759F">
            <w:pPr>
              <w:spacing w:after="0" w:line="240" w:lineRule="auto"/>
              <w:rPr>
                <w:rFonts w:ascii="Arial" w:eastAsia="Times New Roman" w:hAnsi="Arial" w:cs="Arial"/>
              </w:rPr>
            </w:pPr>
            <w:r>
              <w:rPr>
                <w:rFonts w:ascii="Arial" w:hAnsi="Arial"/>
              </w:rPr>
              <w:t xml:space="preserve">                6000 </w:t>
            </w:r>
          </w:p>
        </w:tc>
      </w:tr>
      <w:tr w:rsidR="008C3C26" w:rsidRPr="00A64F7F" w14:paraId="4889F956" w14:textId="77777777" w:rsidTr="00EC5C0F">
        <w:trPr>
          <w:trHeight w:val="299"/>
        </w:trPr>
        <w:tc>
          <w:tcPr>
            <w:tcW w:w="4997" w:type="dxa"/>
            <w:tcBorders>
              <w:top w:val="single" w:sz="4" w:space="0" w:color="auto"/>
              <w:left w:val="single" w:sz="8" w:space="0" w:color="auto"/>
              <w:bottom w:val="single" w:sz="4" w:space="0" w:color="auto"/>
              <w:right w:val="nil"/>
            </w:tcBorders>
            <w:shd w:val="clear" w:color="auto" w:fill="auto"/>
            <w:noWrap/>
            <w:vAlign w:val="bottom"/>
            <w:hideMark/>
          </w:tcPr>
          <w:p w14:paraId="25286447" w14:textId="77777777" w:rsidR="008C3C26" w:rsidRPr="008A6D63" w:rsidRDefault="008C3C26" w:rsidP="00CC759F">
            <w:pPr>
              <w:spacing w:after="0" w:line="240" w:lineRule="auto"/>
              <w:rPr>
                <w:rFonts w:ascii="Arial" w:eastAsia="Times New Roman" w:hAnsi="Arial" w:cs="Arial"/>
              </w:rPr>
            </w:pPr>
            <w:r>
              <w:rPr>
                <w:rFonts w:ascii="Arial" w:hAnsi="Arial"/>
              </w:rPr>
              <w:t>Total des dépenses</w:t>
            </w:r>
          </w:p>
        </w:tc>
        <w:tc>
          <w:tcPr>
            <w:tcW w:w="1318" w:type="dxa"/>
            <w:tcBorders>
              <w:top w:val="single" w:sz="4" w:space="0" w:color="auto"/>
              <w:left w:val="single" w:sz="4" w:space="0" w:color="auto"/>
              <w:bottom w:val="single" w:sz="4" w:space="0" w:color="auto"/>
              <w:right w:val="nil"/>
            </w:tcBorders>
            <w:shd w:val="clear" w:color="auto" w:fill="auto"/>
            <w:noWrap/>
            <w:vAlign w:val="bottom"/>
            <w:hideMark/>
          </w:tcPr>
          <w:p w14:paraId="199BB769" w14:textId="77777777" w:rsidR="008C3C26" w:rsidRPr="008A6D63" w:rsidRDefault="008C3C26" w:rsidP="00CC759F">
            <w:pPr>
              <w:spacing w:after="0" w:line="240" w:lineRule="auto"/>
              <w:rPr>
                <w:rFonts w:ascii="Arial" w:eastAsia="Times New Roman" w:hAnsi="Arial" w:cs="Arial"/>
              </w:rPr>
            </w:pPr>
            <w:r>
              <w:rPr>
                <w:rFonts w:ascii="Arial" w:hAnsi="Arial"/>
              </w:rPr>
              <w:t xml:space="preserve">104 508,60 </w:t>
            </w:r>
          </w:p>
        </w:tc>
        <w:tc>
          <w:tcPr>
            <w:tcW w:w="120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5D7F2CB" w14:textId="77777777" w:rsidR="008C3C26" w:rsidRPr="008A6D63" w:rsidRDefault="008C3C26" w:rsidP="00CC759F">
            <w:pPr>
              <w:spacing w:after="0" w:line="240" w:lineRule="auto"/>
              <w:rPr>
                <w:rFonts w:ascii="Arial" w:eastAsia="Times New Roman" w:hAnsi="Arial" w:cs="Arial"/>
              </w:rPr>
            </w:pPr>
            <w:r>
              <w:rPr>
                <w:rFonts w:ascii="Arial" w:hAnsi="Arial"/>
              </w:rPr>
              <w:t>6000</w:t>
            </w:r>
          </w:p>
        </w:tc>
      </w:tr>
      <w:tr w:rsidR="008C3C26" w:rsidRPr="00A64F7F" w14:paraId="012C4AE1" w14:textId="77777777" w:rsidTr="00EC5C0F">
        <w:trPr>
          <w:trHeight w:val="310"/>
        </w:trPr>
        <w:tc>
          <w:tcPr>
            <w:tcW w:w="4997" w:type="dxa"/>
            <w:tcBorders>
              <w:top w:val="single" w:sz="4" w:space="0" w:color="auto"/>
              <w:left w:val="single" w:sz="8" w:space="0" w:color="auto"/>
              <w:bottom w:val="single" w:sz="8" w:space="0" w:color="auto"/>
              <w:right w:val="nil"/>
            </w:tcBorders>
            <w:shd w:val="clear" w:color="auto" w:fill="auto"/>
            <w:noWrap/>
            <w:vAlign w:val="bottom"/>
            <w:hideMark/>
          </w:tcPr>
          <w:p w14:paraId="702F3CCB" w14:textId="77777777" w:rsidR="008C3C26" w:rsidRPr="008A6D63" w:rsidRDefault="008C3C26" w:rsidP="00CC759F">
            <w:pPr>
              <w:spacing w:after="0" w:line="240" w:lineRule="auto"/>
              <w:rPr>
                <w:rFonts w:ascii="Arial" w:eastAsia="Times New Roman" w:hAnsi="Arial" w:cs="Arial"/>
                <w:b/>
                <w:bCs/>
              </w:rPr>
            </w:pPr>
            <w:r>
              <w:rPr>
                <w:rFonts w:ascii="Arial" w:hAnsi="Arial"/>
                <w:b/>
              </w:rPr>
              <w:t>Solde</w:t>
            </w:r>
          </w:p>
        </w:tc>
        <w:tc>
          <w:tcPr>
            <w:tcW w:w="131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F3C2ECE" w14:textId="77777777" w:rsidR="008C3C26" w:rsidRPr="008A6D63" w:rsidRDefault="008C3C26" w:rsidP="00CC759F">
            <w:pPr>
              <w:spacing w:after="0" w:line="240" w:lineRule="auto"/>
              <w:rPr>
                <w:rFonts w:ascii="Arial" w:eastAsia="Times New Roman" w:hAnsi="Arial" w:cs="Arial"/>
                <w:b/>
                <w:bCs/>
              </w:rPr>
            </w:pPr>
            <w:r>
              <w:rPr>
                <w:rFonts w:ascii="Arial" w:hAnsi="Arial"/>
                <w:b/>
              </w:rPr>
              <w:t xml:space="preserve">10149,70 </w:t>
            </w:r>
          </w:p>
        </w:tc>
        <w:tc>
          <w:tcPr>
            <w:tcW w:w="1202" w:type="dxa"/>
            <w:tcBorders>
              <w:top w:val="single" w:sz="4" w:space="0" w:color="auto"/>
              <w:left w:val="nil"/>
              <w:bottom w:val="single" w:sz="8" w:space="0" w:color="auto"/>
              <w:right w:val="single" w:sz="8" w:space="0" w:color="auto"/>
            </w:tcBorders>
            <w:shd w:val="clear" w:color="auto" w:fill="auto"/>
            <w:noWrap/>
            <w:vAlign w:val="bottom"/>
            <w:hideMark/>
          </w:tcPr>
          <w:p w14:paraId="22DC86CE" w14:textId="1C534C92" w:rsidR="008C3C26" w:rsidRPr="008A6D63" w:rsidRDefault="00C977FB" w:rsidP="00CC759F">
            <w:pPr>
              <w:spacing w:after="0" w:line="240" w:lineRule="auto"/>
              <w:rPr>
                <w:rFonts w:ascii="Arial" w:eastAsia="Times New Roman" w:hAnsi="Arial" w:cs="Arial"/>
                <w:b/>
                <w:bCs/>
              </w:rPr>
            </w:pPr>
            <w:r>
              <w:rPr>
                <w:rFonts w:ascii="Arial" w:hAnsi="Arial"/>
                <w:b/>
              </w:rPr>
              <w:t xml:space="preserve">   582</w:t>
            </w:r>
          </w:p>
        </w:tc>
      </w:tr>
    </w:tbl>
    <w:p w14:paraId="2127F660" w14:textId="15237481" w:rsidR="008A6D63" w:rsidRDefault="008A6D63" w:rsidP="006A6FA7">
      <w:pPr>
        <w:spacing w:after="0" w:line="240" w:lineRule="auto"/>
        <w:contextualSpacing/>
        <w:jc w:val="both"/>
        <w:rPr>
          <w:rFonts w:ascii="Bookman Old Style" w:eastAsia="Times New Roman" w:hAnsi="Bookman Old Style" w:cs="Times New Roman"/>
          <w:sz w:val="24"/>
          <w:szCs w:val="24"/>
          <w:lang w:val="en-US" w:bidi="en-US"/>
        </w:rPr>
      </w:pPr>
    </w:p>
    <w:p w14:paraId="0C39321D" w14:textId="77777777" w:rsidR="008A6D63" w:rsidRPr="00A64F7F" w:rsidRDefault="008A6D63" w:rsidP="006A6FA7">
      <w:pPr>
        <w:spacing w:after="0" w:line="240" w:lineRule="auto"/>
        <w:contextualSpacing/>
        <w:jc w:val="both"/>
        <w:rPr>
          <w:rFonts w:ascii="Bookman Old Style" w:eastAsia="Times New Roman" w:hAnsi="Bookman Old Style" w:cs="Times New Roman"/>
          <w:sz w:val="24"/>
          <w:szCs w:val="24"/>
          <w:lang w:val="en-US" w:bidi="en-US"/>
        </w:rPr>
      </w:pPr>
    </w:p>
    <w:p w14:paraId="35866E46" w14:textId="462F46E7" w:rsidR="008C3C26" w:rsidRPr="008A6D63" w:rsidRDefault="008C3C26" w:rsidP="008A6D63">
      <w:pPr>
        <w:pStyle w:val="ListParagraph"/>
        <w:numPr>
          <w:ilvl w:val="1"/>
          <w:numId w:val="38"/>
        </w:numPr>
        <w:jc w:val="both"/>
        <w:rPr>
          <w:rFonts w:ascii="Bookman Old Style" w:hAnsi="Bookman Old Style"/>
          <w:sz w:val="24"/>
          <w:szCs w:val="24"/>
        </w:rPr>
      </w:pPr>
      <w:r>
        <w:rPr>
          <w:rFonts w:ascii="Bookman Old Style" w:hAnsi="Bookman Old Style"/>
          <w:b/>
          <w:sz w:val="24"/>
        </w:rPr>
        <w:t>Autres bailleurs de fonds</w:t>
      </w:r>
    </w:p>
    <w:p w14:paraId="01413542" w14:textId="77777777" w:rsidR="008C3C26" w:rsidRPr="00A64F7F" w:rsidRDefault="008C3C26" w:rsidP="008C3C26">
      <w:pPr>
        <w:spacing w:after="0" w:line="240" w:lineRule="auto"/>
        <w:jc w:val="both"/>
        <w:rPr>
          <w:rFonts w:ascii="Bookman Old Style" w:eastAsia="Calibri" w:hAnsi="Bookman Old Style" w:cs="Arial"/>
          <w:b/>
          <w:sz w:val="24"/>
          <w:szCs w:val="24"/>
          <w:lang w:val="en-GB" w:bidi="en-US"/>
        </w:rPr>
      </w:pPr>
    </w:p>
    <w:p w14:paraId="41641D7E" w14:textId="77777777" w:rsidR="005870AD" w:rsidRPr="005870AD" w:rsidRDefault="005870AD" w:rsidP="005870AD">
      <w:pPr>
        <w:pStyle w:val="xmsonormal"/>
        <w:numPr>
          <w:ilvl w:val="2"/>
          <w:numId w:val="39"/>
        </w:numPr>
        <w:shd w:val="clear" w:color="auto" w:fill="FFFFFF"/>
        <w:spacing w:before="0" w:beforeAutospacing="0" w:after="0" w:afterAutospacing="0"/>
        <w:rPr>
          <w:rFonts w:ascii="Bookman Old Style" w:hAnsi="Bookman Old Style" w:cs="Calibri"/>
          <w:color w:val="242424"/>
        </w:rPr>
      </w:pPr>
      <w:r>
        <w:rPr>
          <w:rFonts w:ascii="Bookman Old Style" w:hAnsi="Bookman Old Style"/>
          <w:color w:val="242424"/>
          <w:bdr w:val="none" w:sz="0" w:space="0" w:color="auto" w:frame="1"/>
        </w:rPr>
        <w:t>APHRC</w:t>
      </w:r>
    </w:p>
    <w:p w14:paraId="04A27C9F" w14:textId="6E24FDB0" w:rsidR="000D7845" w:rsidRPr="005870AD" w:rsidRDefault="000D7845" w:rsidP="001A2B6E">
      <w:pPr>
        <w:pStyle w:val="xmsonormal"/>
        <w:numPr>
          <w:ilvl w:val="2"/>
          <w:numId w:val="39"/>
        </w:numPr>
        <w:shd w:val="clear" w:color="auto" w:fill="FFFFFF"/>
        <w:spacing w:before="0" w:beforeAutospacing="0" w:after="0" w:afterAutospacing="0"/>
        <w:jc w:val="both"/>
        <w:rPr>
          <w:rFonts w:ascii="Bookman Old Style" w:hAnsi="Bookman Old Style" w:cs="Calibri"/>
          <w:color w:val="242424"/>
        </w:rPr>
      </w:pPr>
      <w:r>
        <w:rPr>
          <w:rFonts w:ascii="Bookman Old Style" w:hAnsi="Bookman Old Style"/>
          <w:color w:val="242424"/>
          <w:bdr w:val="none" w:sz="0" w:space="0" w:color="auto" w:frame="1"/>
        </w:rPr>
        <w:t> APHRC a organisé 8 réunions/formations virtuelles de renforcement des capacités d'avril 2022 à septembre 2022 sur divers domaines d'intérêt, à la fois pour les députés et le personnel des parlements membres et du secrétariat. On estime que chaque réunion a coûté au moins US$ 5 500, comme indiqué ci-dessous. La contribution totale de l'APHRC est évaluée à U$44,000 (N$770,000). La répartition par réunion est la suivante :</w:t>
      </w:r>
    </w:p>
    <w:p w14:paraId="68939EB3" w14:textId="07E807FD" w:rsidR="000D7845" w:rsidRPr="005870AD" w:rsidRDefault="000D7845" w:rsidP="005870AD">
      <w:pPr>
        <w:pStyle w:val="xmsonormal"/>
        <w:shd w:val="clear" w:color="auto" w:fill="FFFFFF"/>
        <w:spacing w:before="0" w:beforeAutospacing="0" w:after="0" w:afterAutospacing="0"/>
        <w:rPr>
          <w:rFonts w:ascii="Bookman Old Style" w:hAnsi="Bookman Old Style" w:cs="Calibri"/>
          <w:color w:val="242424"/>
        </w:rPr>
      </w:pPr>
      <w:r>
        <w:rPr>
          <w:rFonts w:ascii="Bookman Old Style" w:hAnsi="Bookman Old Style"/>
          <w:color w:val="242424"/>
          <w:bdr w:val="none" w:sz="0" w:space="0" w:color="auto" w:frame="1"/>
        </w:rPr>
        <w:t> </w:t>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t>US$</w:t>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ab/>
      </w:r>
      <w:r>
        <w:rPr>
          <w:rFonts w:ascii="Bookman Old Style" w:hAnsi="Bookman Old Style"/>
          <w:color w:val="242424"/>
          <w:bdr w:val="none" w:sz="0" w:space="0" w:color="auto" w:frame="1"/>
        </w:rPr>
        <w:t>N$</w:t>
      </w:r>
    </w:p>
    <w:p w14:paraId="21152A34" w14:textId="38A99523" w:rsidR="005B6BE0" w:rsidRDefault="005B6BE0" w:rsidP="00F3051E">
      <w:pPr>
        <w:pStyle w:val="xmsonormal"/>
        <w:shd w:val="clear" w:color="auto" w:fill="FFFFFF"/>
        <w:spacing w:before="0" w:beforeAutospacing="0" w:after="0" w:afterAutospacing="0"/>
        <w:ind w:left="720"/>
        <w:rPr>
          <w:rFonts w:ascii="Bookman Old Style" w:hAnsi="Bookman Old Style" w:cs="Calibri"/>
          <w:color w:val="242424"/>
          <w:bdr w:val="none" w:sz="0" w:space="0" w:color="auto" w:frame="1"/>
        </w:rPr>
      </w:pP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 xml:space="preserve">    </w:t>
      </w:r>
      <w:r>
        <w:rPr>
          <w:rFonts w:ascii="Bookman Old Style" w:hAnsi="Bookman Old Style"/>
          <w:color w:val="242424"/>
          <w:bdr w:val="none" w:sz="0" w:space="0" w:color="auto" w:frame="1"/>
        </w:rPr>
        <w:t xml:space="preserve">Par réunion </w:t>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 xml:space="preserve">           </w:t>
      </w:r>
      <w:r>
        <w:rPr>
          <w:rFonts w:ascii="Bookman Old Style" w:hAnsi="Bookman Old Style"/>
          <w:color w:val="242424"/>
          <w:bdr w:val="none" w:sz="0" w:space="0" w:color="auto" w:frame="1"/>
        </w:rPr>
        <w:t>Par réunion</w:t>
      </w:r>
      <w:r>
        <w:rPr>
          <w:rFonts w:ascii="Bookman Old Style" w:hAnsi="Bookman Old Style"/>
          <w:color w:val="242424"/>
          <w:bdr w:val="none" w:sz="0" w:space="0" w:color="auto" w:frame="1"/>
        </w:rPr>
        <w:tab/>
      </w:r>
    </w:p>
    <w:p w14:paraId="023C290D" w14:textId="7C7D467D" w:rsidR="000D7845" w:rsidRPr="005870AD" w:rsidRDefault="000D7845" w:rsidP="00F3051E">
      <w:pPr>
        <w:pStyle w:val="xmsonormal"/>
        <w:shd w:val="clear" w:color="auto" w:fill="FFFFFF"/>
        <w:spacing w:before="0" w:beforeAutospacing="0" w:after="0" w:afterAutospacing="0"/>
        <w:ind w:left="720"/>
        <w:rPr>
          <w:rFonts w:ascii="Bookman Old Style" w:hAnsi="Bookman Old Style" w:cs="Calibri"/>
          <w:color w:val="242424"/>
        </w:rPr>
      </w:pPr>
      <w:r>
        <w:rPr>
          <w:rFonts w:ascii="Bookman Old Style" w:hAnsi="Bookman Old Style"/>
          <w:color w:val="242424"/>
          <w:bdr w:val="none" w:sz="0" w:space="0" w:color="auto" w:frame="1"/>
        </w:rPr>
        <w:t>Interprètes (X 4)                              1800</w:t>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ab/>
        <w:t xml:space="preserve">    </w:t>
      </w:r>
      <w:r>
        <w:rPr>
          <w:rFonts w:ascii="Bookman Old Style" w:hAnsi="Bookman Old Style"/>
          <w:color w:val="242424"/>
          <w:bdr w:val="none" w:sz="0" w:space="0" w:color="auto" w:frame="1"/>
        </w:rPr>
        <w:t>31500</w:t>
      </w:r>
    </w:p>
    <w:p w14:paraId="58FF7A0A" w14:textId="75DE64E3" w:rsidR="000D7845" w:rsidRPr="005870AD" w:rsidRDefault="000D7845" w:rsidP="00F3051E">
      <w:pPr>
        <w:pStyle w:val="xmsonormal"/>
        <w:shd w:val="clear" w:color="auto" w:fill="FFFFFF"/>
        <w:spacing w:before="0" w:beforeAutospacing="0" w:after="0" w:afterAutospacing="0"/>
        <w:ind w:left="720"/>
        <w:rPr>
          <w:rFonts w:ascii="Bookman Old Style" w:hAnsi="Bookman Old Style" w:cs="Calibri"/>
          <w:color w:val="242424"/>
        </w:rPr>
      </w:pPr>
      <w:r>
        <w:rPr>
          <w:rFonts w:ascii="Bookman Old Style" w:hAnsi="Bookman Old Style"/>
          <w:color w:val="242424"/>
          <w:bdr w:val="none" w:sz="0" w:space="0" w:color="auto" w:frame="1"/>
        </w:rPr>
        <w:t>Personnes ressources (X 2)              2700</w:t>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 xml:space="preserve">                       </w:t>
      </w:r>
      <w:r>
        <w:rPr>
          <w:rFonts w:ascii="Bookman Old Style" w:hAnsi="Bookman Old Style"/>
          <w:color w:val="242424"/>
          <w:bdr w:val="none" w:sz="0" w:space="0" w:color="auto" w:frame="1"/>
        </w:rPr>
        <w:t>47250</w:t>
      </w:r>
    </w:p>
    <w:p w14:paraId="5BF9B2D1" w14:textId="3942EB81" w:rsidR="000D7845" w:rsidRPr="00C3634B" w:rsidRDefault="000D7845" w:rsidP="00F3051E">
      <w:pPr>
        <w:pStyle w:val="xmsonormal"/>
        <w:shd w:val="clear" w:color="auto" w:fill="FFFFFF"/>
        <w:spacing w:before="0" w:beforeAutospacing="0" w:after="0" w:afterAutospacing="0"/>
        <w:ind w:left="720"/>
        <w:rPr>
          <w:rFonts w:ascii="Bookman Old Style" w:hAnsi="Bookman Old Style" w:cs="Calibri"/>
          <w:color w:val="242424"/>
        </w:rPr>
      </w:pPr>
      <w:r>
        <w:rPr>
          <w:rFonts w:ascii="Bookman Old Style" w:hAnsi="Bookman Old Style"/>
          <w:color w:val="242424"/>
          <w:bdr w:val="none" w:sz="0" w:space="0" w:color="auto" w:frame="1"/>
        </w:rPr>
        <w:t>Traduction                                     </w:t>
      </w:r>
      <w:r w:rsidR="006C45F5">
        <w:rPr>
          <w:rFonts w:ascii="Bookman Old Style" w:hAnsi="Bookman Old Style"/>
          <w:color w:val="242424"/>
          <w:bdr w:val="none" w:sz="0" w:space="0" w:color="auto" w:frame="1"/>
        </w:rPr>
        <w:t xml:space="preserve"> </w:t>
      </w:r>
      <w:r>
        <w:rPr>
          <w:rFonts w:ascii="Bookman Old Style" w:hAnsi="Bookman Old Style"/>
          <w:color w:val="242424"/>
          <w:u w:val="single"/>
          <w:bdr w:val="none" w:sz="0" w:space="0" w:color="auto" w:frame="1"/>
        </w:rPr>
        <w:t>1000</w:t>
      </w:r>
      <w:r>
        <w:rPr>
          <w:rFonts w:ascii="Bookman Old Style" w:hAnsi="Bookman Old Style"/>
          <w:color w:val="242424"/>
          <w:bdr w:val="none" w:sz="0" w:space="0" w:color="auto" w:frame="1"/>
        </w:rPr>
        <w:tab/>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 xml:space="preserve">              </w:t>
      </w:r>
      <w:r>
        <w:rPr>
          <w:rFonts w:ascii="Bookman Old Style" w:hAnsi="Bookman Old Style"/>
          <w:color w:val="242424"/>
          <w:u w:val="single"/>
          <w:bdr w:val="none" w:sz="0" w:space="0" w:color="auto" w:frame="1"/>
        </w:rPr>
        <w:t>17500</w:t>
      </w:r>
    </w:p>
    <w:p w14:paraId="154DDCF6" w14:textId="7F30478C" w:rsidR="000D7845" w:rsidRPr="005B6BE0" w:rsidRDefault="000D7845" w:rsidP="00F3051E">
      <w:pPr>
        <w:pStyle w:val="xmsonormal"/>
        <w:shd w:val="clear" w:color="auto" w:fill="FFFFFF"/>
        <w:spacing w:before="0" w:beforeAutospacing="0" w:after="0" w:afterAutospacing="0"/>
        <w:ind w:left="720"/>
        <w:rPr>
          <w:rFonts w:ascii="Bookman Old Style" w:hAnsi="Bookman Old Style" w:cs="Calibri"/>
          <w:color w:val="242424"/>
        </w:rPr>
      </w:pPr>
      <w:r>
        <w:rPr>
          <w:rFonts w:ascii="Bookman Old Style" w:hAnsi="Bookman Old Style"/>
          <w:color w:val="242424"/>
          <w:bdr w:val="none" w:sz="0" w:space="0" w:color="auto" w:frame="1"/>
        </w:rPr>
        <w:t>Coûts totaux par réunion                </w:t>
      </w:r>
      <w:r>
        <w:rPr>
          <w:rFonts w:ascii="Bookman Old Style" w:hAnsi="Bookman Old Style"/>
          <w:color w:val="242424"/>
          <w:u w:val="single"/>
          <w:bdr w:val="none" w:sz="0" w:space="0" w:color="auto" w:frame="1"/>
        </w:rPr>
        <w:t xml:space="preserve">5500 </w:t>
      </w:r>
      <w:r>
        <w:rPr>
          <w:rFonts w:ascii="Bookman Old Style" w:hAnsi="Bookman Old Style"/>
          <w:color w:val="242424"/>
          <w:bdr w:val="none" w:sz="0" w:space="0" w:color="auto" w:frame="1"/>
        </w:rPr>
        <w:tab/>
      </w:r>
      <w:r w:rsidR="006C45F5">
        <w:rPr>
          <w:rFonts w:ascii="Bookman Old Style" w:hAnsi="Bookman Old Style"/>
          <w:color w:val="242424"/>
          <w:bdr w:val="none" w:sz="0" w:space="0" w:color="auto" w:frame="1"/>
        </w:rPr>
        <w:t xml:space="preserve">                       </w:t>
      </w:r>
      <w:r>
        <w:rPr>
          <w:rFonts w:ascii="Bookman Old Style" w:hAnsi="Bookman Old Style"/>
          <w:color w:val="242424"/>
          <w:u w:val="single"/>
          <w:bdr w:val="none" w:sz="0" w:space="0" w:color="auto" w:frame="1"/>
        </w:rPr>
        <w:t>96250</w:t>
      </w:r>
    </w:p>
    <w:p w14:paraId="67228575" w14:textId="39470219" w:rsidR="000D7845" w:rsidRPr="005870AD" w:rsidRDefault="000D7845" w:rsidP="00F3051E">
      <w:pPr>
        <w:pStyle w:val="xmsonormal"/>
        <w:shd w:val="clear" w:color="auto" w:fill="FFFFFF"/>
        <w:spacing w:before="0" w:beforeAutospacing="0" w:after="0" w:afterAutospacing="0"/>
        <w:ind w:left="720"/>
        <w:rPr>
          <w:rFonts w:ascii="Bookman Old Style" w:hAnsi="Bookman Old Style" w:cs="Calibri"/>
          <w:color w:val="242424"/>
        </w:rPr>
      </w:pPr>
    </w:p>
    <w:p w14:paraId="787B0707" w14:textId="406CB464" w:rsidR="008C3C26" w:rsidRPr="00CA0CD4" w:rsidRDefault="00F80AE4" w:rsidP="00EC5C0F">
      <w:pPr>
        <w:spacing w:after="0" w:line="240" w:lineRule="auto"/>
        <w:ind w:left="709"/>
        <w:contextualSpacing/>
        <w:jc w:val="both"/>
        <w:rPr>
          <w:rFonts w:ascii="Bookman Old Style" w:eastAsia="Times New Roman" w:hAnsi="Bookman Old Style" w:cs="Times New Roman"/>
          <w:b/>
          <w:bCs/>
          <w:sz w:val="24"/>
          <w:szCs w:val="24"/>
        </w:rPr>
      </w:pPr>
      <w:r>
        <w:rPr>
          <w:rFonts w:ascii="Bookman Old Style" w:hAnsi="Bookman Old Style"/>
          <w:b/>
          <w:sz w:val="24"/>
        </w:rPr>
        <w:t>Total pour les 8 réunions</w:t>
      </w:r>
      <w:r>
        <w:rPr>
          <w:rFonts w:ascii="Bookman Old Style" w:hAnsi="Bookman Old Style"/>
          <w:b/>
          <w:sz w:val="24"/>
        </w:rPr>
        <w:tab/>
        <w:t>US$44,000</w:t>
      </w:r>
      <w:r>
        <w:rPr>
          <w:rFonts w:ascii="Bookman Old Style" w:hAnsi="Bookman Old Style"/>
          <w:b/>
          <w:sz w:val="24"/>
        </w:rPr>
        <w:tab/>
      </w:r>
      <w:r>
        <w:rPr>
          <w:rFonts w:ascii="Bookman Old Style" w:hAnsi="Bookman Old Style"/>
          <w:b/>
          <w:sz w:val="24"/>
        </w:rPr>
        <w:tab/>
      </w:r>
      <w:r w:rsidR="006C45F5">
        <w:rPr>
          <w:rFonts w:ascii="Bookman Old Style" w:hAnsi="Bookman Old Style"/>
          <w:b/>
          <w:sz w:val="24"/>
        </w:rPr>
        <w:t xml:space="preserve">        </w:t>
      </w:r>
      <w:r>
        <w:rPr>
          <w:rFonts w:ascii="Bookman Old Style" w:hAnsi="Bookman Old Style"/>
          <w:b/>
          <w:sz w:val="24"/>
        </w:rPr>
        <w:t>N$770,000</w:t>
      </w:r>
    </w:p>
    <w:p w14:paraId="155E3A6B" w14:textId="5999D714" w:rsidR="00263976" w:rsidRDefault="00263976" w:rsidP="00CA0CD4">
      <w:pPr>
        <w:rPr>
          <w:rFonts w:ascii="Bookman Old Style" w:hAnsi="Bookman Old Style"/>
          <w:sz w:val="24"/>
          <w:szCs w:val="24"/>
        </w:rPr>
      </w:pPr>
    </w:p>
    <w:p w14:paraId="5855EC3C" w14:textId="77777777" w:rsidR="00EC5C0F" w:rsidRDefault="00EC5C0F" w:rsidP="00CA0CD4">
      <w:pPr>
        <w:rPr>
          <w:rFonts w:ascii="Bookman Old Style" w:hAnsi="Bookman Old Style"/>
          <w:sz w:val="24"/>
          <w:szCs w:val="24"/>
        </w:rPr>
      </w:pPr>
    </w:p>
    <w:p w14:paraId="0EF2C2EA" w14:textId="77777777" w:rsidR="00EC5C0F" w:rsidRDefault="00EC5C0F" w:rsidP="00CA0CD4">
      <w:pPr>
        <w:rPr>
          <w:rFonts w:ascii="Bookman Old Style" w:hAnsi="Bookman Old Style"/>
          <w:sz w:val="24"/>
          <w:szCs w:val="24"/>
        </w:rPr>
      </w:pPr>
    </w:p>
    <w:p w14:paraId="0BC14376" w14:textId="7EA304A9" w:rsidR="001A2B6E" w:rsidRPr="00EC5C0F" w:rsidRDefault="001A2B6E" w:rsidP="001A2B6E">
      <w:pPr>
        <w:pStyle w:val="ListParagraph"/>
        <w:numPr>
          <w:ilvl w:val="1"/>
          <w:numId w:val="39"/>
        </w:numPr>
        <w:spacing w:after="200" w:line="276" w:lineRule="auto"/>
        <w:rPr>
          <w:rFonts w:ascii="Bookman Old Style" w:eastAsia="Calibri" w:hAnsi="Bookman Old Style" w:cs="Arial"/>
          <w:b/>
          <w:bCs/>
          <w:sz w:val="24"/>
          <w:szCs w:val="24"/>
        </w:rPr>
      </w:pPr>
      <w:bookmarkStart w:id="29" w:name="_Hlk117165971"/>
      <w:r>
        <w:rPr>
          <w:rFonts w:ascii="Bookman Old Style" w:hAnsi="Bookman Old Style"/>
          <w:b/>
          <w:sz w:val="24"/>
        </w:rPr>
        <w:lastRenderedPageBreak/>
        <w:t xml:space="preserve">RECOMMANDATIONS DESTINÉES À ÊTRE EXAMINÉES PAR </w:t>
      </w:r>
      <w:r w:rsidRPr="00EC5C0F">
        <w:rPr>
          <w:rFonts w:ascii="Bookman Old Style" w:hAnsi="Bookman Old Style"/>
          <w:b/>
          <w:sz w:val="24"/>
        </w:rPr>
        <w:t>L</w:t>
      </w:r>
      <w:r w:rsidR="00EB63ED" w:rsidRPr="00EC5C0F">
        <w:rPr>
          <w:rFonts w:ascii="Bookman Old Style" w:hAnsi="Bookman Old Style"/>
          <w:b/>
          <w:sz w:val="24"/>
        </w:rPr>
        <w:t>’ASSEMBLÉE PLÉNIÈRE</w:t>
      </w:r>
    </w:p>
    <w:p w14:paraId="6EFFA87F" w14:textId="77777777" w:rsidR="00EC5C0F" w:rsidRPr="00EC5C0F" w:rsidRDefault="00EC5C0F" w:rsidP="00EC5C0F">
      <w:pPr>
        <w:pStyle w:val="ListParagraph"/>
        <w:spacing w:after="200" w:line="276" w:lineRule="auto"/>
        <w:ind w:left="504" w:firstLine="0"/>
        <w:rPr>
          <w:rFonts w:ascii="Bookman Old Style" w:eastAsia="Calibri" w:hAnsi="Bookman Old Style" w:cs="Arial"/>
          <w:b/>
          <w:bCs/>
          <w:sz w:val="24"/>
          <w:szCs w:val="24"/>
        </w:rPr>
      </w:pPr>
    </w:p>
    <w:bookmarkEnd w:id="29"/>
    <w:p w14:paraId="58EEFF18" w14:textId="0A305DC8" w:rsidR="00263976" w:rsidRPr="00EC5C0F" w:rsidRDefault="001A2B6E" w:rsidP="000F597D">
      <w:pPr>
        <w:pStyle w:val="ListParagraph"/>
        <w:numPr>
          <w:ilvl w:val="2"/>
          <w:numId w:val="39"/>
        </w:numPr>
        <w:spacing w:after="200" w:line="276" w:lineRule="auto"/>
        <w:rPr>
          <w:rFonts w:ascii="Bookman Old Style" w:eastAsia="Calibri" w:hAnsi="Bookman Old Style" w:cs="Arial"/>
          <w:sz w:val="24"/>
          <w:szCs w:val="24"/>
        </w:rPr>
      </w:pPr>
      <w:r w:rsidRPr="00EC5C0F">
        <w:rPr>
          <w:rFonts w:ascii="Bookman Old Style" w:hAnsi="Bookman Old Style"/>
          <w:b/>
          <w:sz w:val="24"/>
        </w:rPr>
        <w:t>L</w:t>
      </w:r>
      <w:r w:rsidR="00EB63ED" w:rsidRPr="00EC5C0F">
        <w:rPr>
          <w:rFonts w:ascii="Bookman Old Style" w:hAnsi="Bookman Old Style"/>
          <w:b/>
          <w:sz w:val="24"/>
        </w:rPr>
        <w:t>’Assemblée plénière</w:t>
      </w:r>
      <w:r w:rsidRPr="00EC5C0F">
        <w:rPr>
          <w:rFonts w:ascii="Bookman Old Style" w:hAnsi="Bookman Old Style"/>
          <w:b/>
          <w:sz w:val="24"/>
        </w:rPr>
        <w:t xml:space="preserve"> est invité</w:t>
      </w:r>
      <w:r w:rsidR="00EB63ED" w:rsidRPr="00EC5C0F">
        <w:rPr>
          <w:rFonts w:ascii="Bookman Old Style" w:hAnsi="Bookman Old Style"/>
          <w:b/>
          <w:sz w:val="24"/>
        </w:rPr>
        <w:t>e</w:t>
      </w:r>
      <w:r w:rsidRPr="00EC5C0F">
        <w:rPr>
          <w:rFonts w:ascii="Bookman Old Style" w:hAnsi="Bookman Old Style"/>
          <w:b/>
          <w:sz w:val="24"/>
        </w:rPr>
        <w:t xml:space="preserve"> à prendre note des contributions des donateurs et des partenaires coopérants et à les soumettre à l'Assemblée plénière pour qu'elle en prenne note.</w:t>
      </w:r>
    </w:p>
    <w:p w14:paraId="49D2A5BE" w14:textId="77777777" w:rsidR="00EC5C0F" w:rsidRPr="00EC5C0F" w:rsidRDefault="00EC5C0F" w:rsidP="00EC5C0F">
      <w:pPr>
        <w:pStyle w:val="ListParagraph"/>
        <w:spacing w:after="200" w:line="276" w:lineRule="auto"/>
        <w:ind w:firstLine="0"/>
        <w:rPr>
          <w:rFonts w:ascii="Bookman Old Style" w:eastAsia="Calibri" w:hAnsi="Bookman Old Style" w:cs="Arial"/>
          <w:sz w:val="24"/>
          <w:szCs w:val="24"/>
        </w:rPr>
      </w:pPr>
    </w:p>
    <w:p w14:paraId="0DA14EF8" w14:textId="30B4265C" w:rsidR="00FC5FDF" w:rsidRPr="000F597D" w:rsidRDefault="00FC5FDF" w:rsidP="000F597D">
      <w:pPr>
        <w:pStyle w:val="ListParagraph"/>
        <w:numPr>
          <w:ilvl w:val="2"/>
          <w:numId w:val="39"/>
        </w:numPr>
        <w:spacing w:after="200" w:line="276" w:lineRule="auto"/>
        <w:rPr>
          <w:rFonts w:ascii="Bookman Old Style" w:eastAsia="Calibri" w:hAnsi="Bookman Old Style" w:cs="Arial"/>
          <w:sz w:val="24"/>
          <w:szCs w:val="24"/>
        </w:rPr>
      </w:pPr>
      <w:r w:rsidRPr="00EC5C0F">
        <w:rPr>
          <w:rFonts w:ascii="Bookman Old Style" w:hAnsi="Bookman Old Style"/>
          <w:b/>
          <w:sz w:val="24"/>
        </w:rPr>
        <w:t>L</w:t>
      </w:r>
      <w:r w:rsidR="00EB63ED" w:rsidRPr="00EC5C0F">
        <w:rPr>
          <w:rFonts w:ascii="Bookman Old Style" w:hAnsi="Bookman Old Style"/>
          <w:b/>
          <w:sz w:val="24"/>
        </w:rPr>
        <w:t>’Assemblée plénière</w:t>
      </w:r>
      <w:r w:rsidRPr="00EC5C0F">
        <w:rPr>
          <w:rFonts w:ascii="Bookman Old Style" w:hAnsi="Bookman Old Style"/>
          <w:b/>
          <w:sz w:val="24"/>
        </w:rPr>
        <w:t xml:space="preserve"> est invité</w:t>
      </w:r>
      <w:r w:rsidR="00EB63ED" w:rsidRPr="00EC5C0F">
        <w:rPr>
          <w:rFonts w:ascii="Bookman Old Style" w:hAnsi="Bookman Old Style"/>
          <w:b/>
          <w:sz w:val="24"/>
        </w:rPr>
        <w:t>e</w:t>
      </w:r>
      <w:r w:rsidRPr="00EC5C0F">
        <w:rPr>
          <w:rFonts w:ascii="Bookman Old Style" w:hAnsi="Bookman Old Style"/>
          <w:b/>
          <w:sz w:val="24"/>
        </w:rPr>
        <w:t xml:space="preserve"> à exprimer sa reconnaissance aux différents donateurs</w:t>
      </w:r>
      <w:r>
        <w:rPr>
          <w:rFonts w:ascii="Bookman Old Style" w:hAnsi="Bookman Old Style"/>
          <w:b/>
          <w:sz w:val="24"/>
        </w:rPr>
        <w:t xml:space="preserve"> et partenaires de coopération pour leur engagement et leur soutien continus.</w:t>
      </w:r>
    </w:p>
    <w:p w14:paraId="5B51FC55" w14:textId="77777777" w:rsidR="009B5EDF" w:rsidRPr="00F55B99" w:rsidRDefault="009B5EDF" w:rsidP="00CA0CD4">
      <w:pPr>
        <w:rPr>
          <w:rFonts w:ascii="Bookman Old Style" w:hAnsi="Bookman Old Style"/>
          <w:b/>
          <w:bCs/>
          <w:sz w:val="24"/>
          <w:szCs w:val="24"/>
        </w:rPr>
      </w:pPr>
    </w:p>
    <w:p w14:paraId="49A4AFCD" w14:textId="04C04840" w:rsidR="00CA0CD4" w:rsidRPr="00563C76" w:rsidRDefault="00CA0CD4" w:rsidP="00C2451F">
      <w:pPr>
        <w:ind w:left="720" w:hanging="720"/>
        <w:rPr>
          <w:rFonts w:ascii="Bookman Old Style" w:hAnsi="Bookman Old Style"/>
          <w:b/>
          <w:bCs/>
          <w:u w:val="single"/>
        </w:rPr>
      </w:pPr>
      <w:r>
        <w:rPr>
          <w:rFonts w:ascii="Bookman Old Style" w:hAnsi="Bookman Old Style"/>
          <w:b/>
          <w:sz w:val="24"/>
        </w:rPr>
        <w:t>4.0.</w:t>
      </w:r>
      <w:r>
        <w:rPr>
          <w:rFonts w:ascii="Bookman Old Style" w:hAnsi="Bookman Old Style"/>
          <w:b/>
          <w:sz w:val="24"/>
        </w:rPr>
        <w:tab/>
      </w:r>
      <w:r>
        <w:rPr>
          <w:rFonts w:ascii="Bookman Old Style" w:hAnsi="Bookman Old Style"/>
          <w:b/>
          <w:u w:val="single"/>
        </w:rPr>
        <w:t>MISE À JOUR SUR LES SUITES DONNÉES AUX RÉSOLUTIONS DE L'ASSEMBLÉE PLÉNIÈRE</w:t>
      </w:r>
    </w:p>
    <w:p w14:paraId="4DF91C3F" w14:textId="63BD219F" w:rsidR="00CA0CD4" w:rsidRDefault="00CA0CD4" w:rsidP="00CA0CD4">
      <w:pPr>
        <w:rPr>
          <w:rFonts w:ascii="Bookman Old Style" w:hAnsi="Bookman Old Style"/>
          <w:sz w:val="24"/>
          <w:szCs w:val="24"/>
        </w:rPr>
      </w:pPr>
      <w:r>
        <w:rPr>
          <w:rFonts w:ascii="Bookman Old Style" w:hAnsi="Bookman Old Style"/>
          <w:sz w:val="24"/>
        </w:rPr>
        <w:t>4.1.</w:t>
      </w:r>
      <w:r>
        <w:rPr>
          <w:rFonts w:ascii="Bookman Old Style" w:hAnsi="Bookman Old Style"/>
          <w:sz w:val="24"/>
        </w:rPr>
        <w:tab/>
      </w:r>
      <w:r>
        <w:rPr>
          <w:rFonts w:ascii="Bookman Old Style" w:hAnsi="Bookman Old Style"/>
          <w:b/>
          <w:sz w:val="24"/>
        </w:rPr>
        <w:t>Mise à jour sur la création du Fonds d'affectation spéciale</w:t>
      </w:r>
    </w:p>
    <w:p w14:paraId="69BFABCC" w14:textId="1513F8BB" w:rsidR="00263976" w:rsidRDefault="00263976" w:rsidP="00B210BB">
      <w:pPr>
        <w:ind w:left="720"/>
        <w:jc w:val="both"/>
        <w:rPr>
          <w:rFonts w:ascii="Bookman Old Style" w:hAnsi="Bookman Old Style"/>
          <w:sz w:val="24"/>
        </w:rPr>
      </w:pPr>
      <w:r>
        <w:rPr>
          <w:rFonts w:ascii="Bookman Old Style" w:hAnsi="Bookman Old Style"/>
          <w:sz w:val="24"/>
        </w:rPr>
        <w:t>L'achèvement du processus d'enregistrement attend la nomination des administrateurs par les parlements membres. A ce jour, il n'y a pas eu de réponse de la part des Parlements membres bien que la demande de nominations ait été envoyée le 5 mai 2022.</w:t>
      </w:r>
    </w:p>
    <w:p w14:paraId="42E63BBF" w14:textId="77777777" w:rsidR="0055449C" w:rsidRPr="0055449C" w:rsidRDefault="0055449C" w:rsidP="0055449C">
      <w:pPr>
        <w:spacing w:after="200" w:line="276" w:lineRule="auto"/>
        <w:ind w:left="720" w:hanging="720"/>
        <w:rPr>
          <w:rFonts w:ascii="Bookman Old Style" w:eastAsia="Calibri" w:hAnsi="Bookman Old Style" w:cs="Arial"/>
          <w:b/>
          <w:bCs/>
          <w:sz w:val="24"/>
          <w:szCs w:val="24"/>
        </w:rPr>
      </w:pPr>
      <w:r w:rsidRPr="0055449C">
        <w:rPr>
          <w:rFonts w:ascii="Bookman Old Style" w:hAnsi="Bookman Old Style"/>
          <w:sz w:val="24"/>
        </w:rPr>
        <w:t>4.2</w:t>
      </w:r>
      <w:r w:rsidRPr="0055449C">
        <w:rPr>
          <w:rFonts w:ascii="Bookman Old Style" w:hAnsi="Bookman Old Style"/>
          <w:sz w:val="24"/>
        </w:rPr>
        <w:tab/>
      </w:r>
      <w:r w:rsidRPr="0055449C">
        <w:rPr>
          <w:rFonts w:ascii="Bookman Old Style" w:hAnsi="Bookman Old Style"/>
          <w:b/>
          <w:sz w:val="24"/>
        </w:rPr>
        <w:t>RECOMMANDATIONS DESTINÉES À ÊTRE EXAMINÉES PAR L’ASSEMBLÉE PLÉNIÈRE</w:t>
      </w:r>
    </w:p>
    <w:p w14:paraId="7462126A" w14:textId="73FF9A6F" w:rsidR="007E4426" w:rsidRDefault="0055449C" w:rsidP="00EC5C0F">
      <w:pPr>
        <w:ind w:left="720"/>
        <w:jc w:val="both"/>
        <w:rPr>
          <w:rFonts w:ascii="Bookman Old Style" w:hAnsi="Bookman Old Style"/>
          <w:sz w:val="24"/>
          <w:szCs w:val="24"/>
        </w:rPr>
      </w:pPr>
      <w:r>
        <w:rPr>
          <w:rFonts w:ascii="Bookman Old Style" w:hAnsi="Bookman Old Style"/>
          <w:sz w:val="24"/>
          <w:szCs w:val="24"/>
        </w:rPr>
        <w:t xml:space="preserve">L’Assemblée plénière est priée de prendre bonne note de la mise à jour </w:t>
      </w:r>
    </w:p>
    <w:p w14:paraId="52F39792" w14:textId="77777777" w:rsidR="00EC5C0F" w:rsidRPr="0055449C" w:rsidRDefault="00EC5C0F" w:rsidP="00EC5C0F">
      <w:pPr>
        <w:ind w:left="720"/>
        <w:jc w:val="both"/>
        <w:rPr>
          <w:rFonts w:ascii="Bookman Old Style" w:hAnsi="Bookman Old Style"/>
          <w:b/>
          <w:bCs/>
          <w:strike/>
          <w:sz w:val="24"/>
          <w:szCs w:val="24"/>
        </w:rPr>
      </w:pPr>
    </w:p>
    <w:p w14:paraId="730F8DA0" w14:textId="51639E14" w:rsidR="00CA0CD4" w:rsidRPr="00563C76" w:rsidRDefault="00563C76" w:rsidP="00CA0CD4">
      <w:pPr>
        <w:rPr>
          <w:rFonts w:ascii="Bookman Old Style" w:hAnsi="Bookman Old Style"/>
          <w:b/>
          <w:bCs/>
          <w:u w:val="single"/>
        </w:rPr>
      </w:pPr>
      <w:r>
        <w:rPr>
          <w:rFonts w:ascii="Bookman Old Style" w:hAnsi="Bookman Old Style"/>
          <w:b/>
        </w:rPr>
        <w:t>5.0.</w:t>
      </w:r>
      <w:r>
        <w:rPr>
          <w:rFonts w:ascii="Bookman Old Style" w:hAnsi="Bookman Old Style"/>
          <w:b/>
        </w:rPr>
        <w:tab/>
      </w:r>
      <w:r>
        <w:rPr>
          <w:rFonts w:ascii="Bookman Old Style" w:hAnsi="Bookman Old Style"/>
          <w:b/>
          <w:u w:val="single"/>
        </w:rPr>
        <w:t>MISE À JOUR DU MANUEL RÉVISÉ DE FINANCE ET DE COMPTABILITÉ</w:t>
      </w:r>
    </w:p>
    <w:p w14:paraId="28E637B6" w14:textId="0B35B662" w:rsidR="00B64142" w:rsidRPr="00BF7D91" w:rsidRDefault="00B64142" w:rsidP="00B64142">
      <w:pPr>
        <w:ind w:left="720" w:hanging="720"/>
        <w:jc w:val="both"/>
        <w:rPr>
          <w:rFonts w:ascii="Bookman Old Style" w:eastAsia="Calibri" w:hAnsi="Bookman Old Style" w:cs="Arial"/>
          <w:i/>
          <w:iCs/>
          <w:sz w:val="24"/>
          <w:szCs w:val="24"/>
        </w:rPr>
      </w:pPr>
      <w:r>
        <w:rPr>
          <w:rFonts w:ascii="Bookman Old Style" w:hAnsi="Bookman Old Style"/>
          <w:sz w:val="24"/>
        </w:rPr>
        <w:t>5.1.</w:t>
      </w:r>
      <w:r>
        <w:rPr>
          <w:rFonts w:ascii="Bookman Old Style" w:hAnsi="Bookman Old Style"/>
          <w:sz w:val="24"/>
        </w:rPr>
        <w:tab/>
        <w:t xml:space="preserve">Le Comité exécutif pourrait souhaiter se rappeler que le manuel des politiques et procédures financières a été révisé et mis à jour. </w:t>
      </w:r>
    </w:p>
    <w:p w14:paraId="0C904800" w14:textId="3D818686" w:rsidR="00763DBD" w:rsidRDefault="00B64142" w:rsidP="00B64142">
      <w:pPr>
        <w:ind w:left="720" w:hanging="720"/>
        <w:jc w:val="both"/>
        <w:rPr>
          <w:rFonts w:ascii="Bookman Old Style" w:eastAsia="Calibri" w:hAnsi="Bookman Old Style" w:cs="Arial"/>
          <w:sz w:val="24"/>
          <w:szCs w:val="24"/>
        </w:rPr>
      </w:pPr>
      <w:r>
        <w:rPr>
          <w:rFonts w:ascii="Bookman Old Style" w:hAnsi="Bookman Old Style"/>
          <w:sz w:val="24"/>
        </w:rPr>
        <w:t>5.2.</w:t>
      </w:r>
      <w:r>
        <w:rPr>
          <w:rFonts w:ascii="Bookman Old Style" w:hAnsi="Bookman Old Style"/>
          <w:sz w:val="24"/>
        </w:rPr>
        <w:tab/>
        <w:t>La politique concernant les dispositions financières indique que « Les politiques sont émises sous l'autorité de l'Assemblée plénière et tout amendement à ce manuel sera approuvé par l'Assemblée plénière, par le biais du Comité exécutif, du Forum parlementaire de la SADC ».</w:t>
      </w:r>
      <w:r>
        <w:t xml:space="preserve">  </w:t>
      </w:r>
    </w:p>
    <w:p w14:paraId="3306F88B" w14:textId="4C8FDED0" w:rsidR="00035161" w:rsidRDefault="009D09E2" w:rsidP="002A5BC0">
      <w:pPr>
        <w:ind w:left="720" w:hanging="720"/>
        <w:jc w:val="both"/>
        <w:rPr>
          <w:rFonts w:ascii="Bookman Old Style" w:hAnsi="Bookman Old Style"/>
          <w:sz w:val="24"/>
        </w:rPr>
      </w:pPr>
      <w:r>
        <w:rPr>
          <w:rFonts w:ascii="Bookman Old Style" w:hAnsi="Bookman Old Style"/>
          <w:sz w:val="24"/>
        </w:rPr>
        <w:t>5.3.</w:t>
      </w:r>
      <w:r>
        <w:rPr>
          <w:rFonts w:ascii="Bookman Old Style" w:hAnsi="Bookman Old Style"/>
          <w:sz w:val="24"/>
        </w:rPr>
        <w:tab/>
        <w:t xml:space="preserve">Les dispositions qui ont déjà été approuvées et mises en œuvre ont depuis été intégrées dans le manuel modifié. Celles-ci ne sont pas soumises à nouveau pour approbation. Par exemple, la révision des termes de référence du Comité exécutif pour y intégrer les fonctions d'un comité d'audit, l'adoption de la politique de passation de marchés de Sida, de la politique de gestion des risques et de la politique relative aux cartes de crédit. </w:t>
      </w:r>
    </w:p>
    <w:p w14:paraId="2434A578" w14:textId="77777777" w:rsidR="00EC5C0F" w:rsidRDefault="00EC5C0F" w:rsidP="002A5BC0">
      <w:pPr>
        <w:ind w:left="720" w:hanging="720"/>
        <w:jc w:val="both"/>
        <w:rPr>
          <w:rFonts w:ascii="Bookman Old Style" w:hAnsi="Bookman Old Style"/>
          <w:sz w:val="24"/>
        </w:rPr>
      </w:pPr>
    </w:p>
    <w:p w14:paraId="6A77F726" w14:textId="77777777" w:rsidR="00EC5C0F" w:rsidRDefault="00EC5C0F" w:rsidP="002A5BC0">
      <w:pPr>
        <w:ind w:left="720" w:hanging="720"/>
        <w:jc w:val="both"/>
        <w:rPr>
          <w:rFonts w:ascii="Bookman Old Style" w:eastAsia="Calibri" w:hAnsi="Bookman Old Style" w:cs="Arial"/>
          <w:sz w:val="24"/>
          <w:szCs w:val="24"/>
        </w:rPr>
      </w:pPr>
    </w:p>
    <w:p w14:paraId="68912982" w14:textId="2DB4FFD6" w:rsidR="00CC6A14" w:rsidRDefault="00035161" w:rsidP="002A5BC0">
      <w:pPr>
        <w:ind w:left="720" w:hanging="720"/>
        <w:jc w:val="both"/>
        <w:rPr>
          <w:rFonts w:ascii="Bookman Old Style" w:eastAsia="Calibri" w:hAnsi="Bookman Old Style" w:cs="Arial"/>
          <w:sz w:val="24"/>
          <w:szCs w:val="24"/>
        </w:rPr>
      </w:pPr>
      <w:r>
        <w:rPr>
          <w:rFonts w:ascii="Bookman Old Style" w:hAnsi="Bookman Old Style"/>
          <w:sz w:val="24"/>
        </w:rPr>
        <w:lastRenderedPageBreak/>
        <w:t>5.4.</w:t>
      </w:r>
      <w:r>
        <w:rPr>
          <w:rFonts w:ascii="Bookman Old Style" w:hAnsi="Bookman Old Style"/>
          <w:sz w:val="24"/>
        </w:rPr>
        <w:tab/>
        <w:t>Les points ci-après méritent d’être soulignés :</w:t>
      </w:r>
    </w:p>
    <w:p w14:paraId="6B898589" w14:textId="531B9151" w:rsidR="008C59AA" w:rsidRPr="00EC5C0F" w:rsidRDefault="00AE1A5C" w:rsidP="00EC5C0F">
      <w:pPr>
        <w:pStyle w:val="ListParagraph"/>
        <w:numPr>
          <w:ilvl w:val="1"/>
          <w:numId w:val="45"/>
        </w:numPr>
        <w:ind w:left="1134" w:hanging="425"/>
        <w:jc w:val="both"/>
        <w:rPr>
          <w:rFonts w:ascii="Bookman Old Style" w:eastAsia="Calibri" w:hAnsi="Bookman Old Style" w:cs="Arial"/>
          <w:sz w:val="24"/>
          <w:szCs w:val="24"/>
        </w:rPr>
      </w:pPr>
      <w:r>
        <w:rPr>
          <w:rFonts w:ascii="Bookman Old Style" w:hAnsi="Bookman Old Style"/>
          <w:sz w:val="24"/>
        </w:rPr>
        <w:t>Les amendements comprennent une mise à jour des politiques et pratiques comptables mondiales pertinentes révisées, y compris l'ajout d'une politique comptable qui n'était pas incluse précédemment. Par exemple :  la politique sur la dépréciation des actifs à 17,5. Les dispositions relatives aux paiements et aux recettes ont également été modifiées pour refléter le système actuel où tous les paiements sont effectués par voie électronique, les banques ne permettant plus l'utilisation de chèques. Cela inclut des processus actualisés et détaillés à suivre, y compris la séparation des tâches.</w:t>
      </w:r>
    </w:p>
    <w:p w14:paraId="3E0AF716" w14:textId="77777777" w:rsidR="00EC5C0F" w:rsidRPr="00C62D56" w:rsidRDefault="00EC5C0F" w:rsidP="00EC5C0F">
      <w:pPr>
        <w:pStyle w:val="ListParagraph"/>
        <w:ind w:left="1134" w:hanging="425"/>
        <w:jc w:val="both"/>
        <w:rPr>
          <w:rFonts w:ascii="Bookman Old Style" w:eastAsia="Calibri" w:hAnsi="Bookman Old Style" w:cs="Arial"/>
          <w:sz w:val="24"/>
          <w:szCs w:val="24"/>
        </w:rPr>
      </w:pPr>
    </w:p>
    <w:p w14:paraId="0F8A1BC3" w14:textId="77777777" w:rsidR="00293DCE" w:rsidRPr="00EC5C0F" w:rsidRDefault="00035161" w:rsidP="00EC5C0F">
      <w:pPr>
        <w:pStyle w:val="ListParagraph"/>
        <w:numPr>
          <w:ilvl w:val="1"/>
          <w:numId w:val="45"/>
        </w:numPr>
        <w:ind w:left="1134" w:hanging="425"/>
        <w:jc w:val="both"/>
        <w:rPr>
          <w:rFonts w:ascii="Bookman Old Style" w:eastAsia="Calibri" w:hAnsi="Bookman Old Style" w:cs="Arial"/>
          <w:sz w:val="24"/>
          <w:szCs w:val="24"/>
        </w:rPr>
      </w:pPr>
      <w:r>
        <w:rPr>
          <w:rFonts w:ascii="Bookman Old Style" w:hAnsi="Bookman Old Style"/>
          <w:sz w:val="24"/>
        </w:rPr>
        <w:t>Les dispositions ont été révisées pour s'aligner sur la structure organisationnelle actuelle et pour intégrer toutes les modifications apportées aux politiques pertinentes.</w:t>
      </w:r>
    </w:p>
    <w:p w14:paraId="6AB63D1F" w14:textId="77777777" w:rsidR="00EC5C0F" w:rsidRPr="00EC5C0F" w:rsidRDefault="00EC5C0F" w:rsidP="00EC5C0F">
      <w:pPr>
        <w:ind w:left="1134" w:hanging="425"/>
        <w:jc w:val="both"/>
        <w:rPr>
          <w:rFonts w:ascii="Bookman Old Style" w:eastAsia="Calibri" w:hAnsi="Bookman Old Style" w:cs="Arial"/>
          <w:sz w:val="24"/>
          <w:szCs w:val="24"/>
        </w:rPr>
      </w:pPr>
    </w:p>
    <w:p w14:paraId="4CD4DA4E" w14:textId="77777777" w:rsidR="00293DCE" w:rsidRPr="00EC5C0F" w:rsidRDefault="004E7B7E" w:rsidP="00EC5C0F">
      <w:pPr>
        <w:pStyle w:val="ListParagraph"/>
        <w:numPr>
          <w:ilvl w:val="1"/>
          <w:numId w:val="45"/>
        </w:numPr>
        <w:ind w:left="1134" w:hanging="425"/>
        <w:jc w:val="both"/>
        <w:rPr>
          <w:rFonts w:ascii="Bookman Old Style" w:eastAsia="Calibri" w:hAnsi="Bookman Old Style" w:cs="Arial"/>
          <w:sz w:val="24"/>
          <w:szCs w:val="24"/>
        </w:rPr>
      </w:pPr>
      <w:r>
        <w:rPr>
          <w:rFonts w:ascii="Bookman Old Style" w:hAnsi="Bookman Old Style"/>
          <w:sz w:val="24"/>
        </w:rPr>
        <w:t>Les dispositions relatives au pouvoir de signature et aux limitations en matière de passation de marchés et de comptes bancaires restent inchangées, à l'exception de l'alignement de ces dispositions sur la structure actuelle afin de refléter les titres actuels des pouvoirs de signature.</w:t>
      </w:r>
    </w:p>
    <w:p w14:paraId="0A1E68E6" w14:textId="77777777" w:rsidR="00EC5C0F" w:rsidRPr="00EC5C0F" w:rsidRDefault="00EC5C0F" w:rsidP="00EC5C0F">
      <w:pPr>
        <w:ind w:left="1134" w:hanging="425"/>
        <w:jc w:val="both"/>
        <w:rPr>
          <w:rFonts w:ascii="Bookman Old Style" w:eastAsia="Calibri" w:hAnsi="Bookman Old Style" w:cs="Arial"/>
          <w:sz w:val="24"/>
          <w:szCs w:val="24"/>
        </w:rPr>
      </w:pPr>
    </w:p>
    <w:p w14:paraId="7C52A862" w14:textId="1812115A" w:rsidR="0013690B" w:rsidRPr="00EC5C0F" w:rsidRDefault="000F62FB" w:rsidP="00EC5C0F">
      <w:pPr>
        <w:pStyle w:val="ListParagraph"/>
        <w:numPr>
          <w:ilvl w:val="1"/>
          <w:numId w:val="45"/>
        </w:numPr>
        <w:ind w:left="1134" w:hanging="425"/>
        <w:jc w:val="both"/>
        <w:rPr>
          <w:rFonts w:ascii="Bookman Old Style" w:hAnsi="Bookman Old Style"/>
          <w:b/>
          <w:bCs/>
          <w:sz w:val="24"/>
          <w:szCs w:val="24"/>
        </w:rPr>
      </w:pPr>
      <w:r>
        <w:rPr>
          <w:rFonts w:ascii="Bookman Old Style" w:hAnsi="Bookman Old Style"/>
          <w:sz w:val="24"/>
        </w:rPr>
        <w:t>L'amendement spécifique suivant est introduit :</w:t>
      </w:r>
    </w:p>
    <w:p w14:paraId="578DCC52" w14:textId="77777777" w:rsidR="00EC5C0F" w:rsidRPr="00EC5C0F" w:rsidRDefault="00EC5C0F" w:rsidP="00EC5C0F">
      <w:pPr>
        <w:jc w:val="both"/>
        <w:rPr>
          <w:rFonts w:ascii="Bookman Old Style" w:hAnsi="Bookman Old Style"/>
          <w:b/>
          <w:bCs/>
          <w:sz w:val="24"/>
          <w:szCs w:val="24"/>
        </w:rPr>
      </w:pPr>
    </w:p>
    <w:p w14:paraId="5ED8E9BC" w14:textId="27CCF152" w:rsidR="000F62FB" w:rsidRDefault="000F62FB" w:rsidP="0013690B">
      <w:pPr>
        <w:pStyle w:val="ListParagraph"/>
        <w:ind w:left="1440" w:firstLine="0"/>
        <w:jc w:val="both"/>
        <w:rPr>
          <w:rFonts w:ascii="Bookman Old Style" w:hAnsi="Bookman Old Style"/>
          <w:b/>
          <w:sz w:val="24"/>
        </w:rPr>
      </w:pPr>
      <w:r>
        <w:rPr>
          <w:rFonts w:ascii="Bookman Old Style" w:hAnsi="Bookman Old Style"/>
          <w:b/>
          <w:sz w:val="24"/>
        </w:rPr>
        <w:t xml:space="preserve">“1.5. Mise à jour du manuel </w:t>
      </w:r>
    </w:p>
    <w:p w14:paraId="06A6A136" w14:textId="77777777" w:rsidR="00EC5C0F" w:rsidRPr="000F62FB" w:rsidRDefault="00EC5C0F" w:rsidP="0013690B">
      <w:pPr>
        <w:pStyle w:val="ListParagraph"/>
        <w:ind w:left="1440" w:firstLine="0"/>
        <w:jc w:val="both"/>
        <w:rPr>
          <w:rFonts w:ascii="Bookman Old Style" w:hAnsi="Bookman Old Style"/>
          <w:b/>
          <w:bCs/>
          <w:sz w:val="24"/>
          <w:szCs w:val="24"/>
        </w:rPr>
      </w:pPr>
    </w:p>
    <w:p w14:paraId="740ABE47" w14:textId="7CE9FADF" w:rsidR="000F62FB" w:rsidRDefault="000F62FB" w:rsidP="00444ADE">
      <w:pPr>
        <w:ind w:left="1440"/>
        <w:jc w:val="both"/>
        <w:rPr>
          <w:rFonts w:ascii="Bookman Old Style" w:hAnsi="Bookman Old Style"/>
          <w:sz w:val="24"/>
          <w:szCs w:val="24"/>
        </w:rPr>
      </w:pPr>
      <w:r>
        <w:rPr>
          <w:rFonts w:ascii="Bookman Old Style" w:hAnsi="Bookman Old Style"/>
          <w:sz w:val="24"/>
        </w:rPr>
        <w:t>Le Forum étant une entité relativement stable dont les activités et les transactions financières qui y sont liées ne changent pas fréquemment, ce manuel sera mis à jour à intervalles de cinq (05) ans, intervalle au bout duquel il est prévu que le Forum aura accumulé des décisions substantielles du Comité exécutif/de l'Assemblée plénière pour garantir la mise à jour ».</w:t>
      </w:r>
    </w:p>
    <w:p w14:paraId="5F1E56A9" w14:textId="77777777" w:rsidR="001F05F8" w:rsidRPr="00F55B99" w:rsidRDefault="001F05F8" w:rsidP="001F05F8">
      <w:pPr>
        <w:ind w:left="720"/>
        <w:jc w:val="both"/>
        <w:rPr>
          <w:rFonts w:ascii="Bookman Old Style" w:hAnsi="Bookman Old Style"/>
          <w:sz w:val="24"/>
          <w:szCs w:val="24"/>
        </w:rPr>
      </w:pPr>
    </w:p>
    <w:p w14:paraId="4FA3E08C" w14:textId="6DB74976" w:rsidR="001F05F8" w:rsidRPr="00E74E17" w:rsidRDefault="001F05F8" w:rsidP="0055449C">
      <w:pPr>
        <w:spacing w:after="200" w:line="276" w:lineRule="auto"/>
        <w:ind w:left="720" w:hanging="720"/>
        <w:rPr>
          <w:rFonts w:ascii="Bookman Old Style" w:eastAsia="Calibri" w:hAnsi="Bookman Old Style" w:cs="Arial"/>
          <w:b/>
          <w:bCs/>
          <w:sz w:val="24"/>
          <w:szCs w:val="24"/>
        </w:rPr>
      </w:pPr>
      <w:r>
        <w:rPr>
          <w:rFonts w:ascii="Bookman Old Style" w:hAnsi="Bookman Old Style"/>
          <w:b/>
          <w:sz w:val="24"/>
        </w:rPr>
        <w:t>5.5.</w:t>
      </w:r>
      <w:r>
        <w:rPr>
          <w:rFonts w:ascii="Bookman Old Style" w:hAnsi="Bookman Old Style"/>
          <w:b/>
          <w:sz w:val="24"/>
        </w:rPr>
        <w:tab/>
        <w:t xml:space="preserve">RECOMMANDATIONS DESTINÉES À ÊTRE EXAMINÉES PAR </w:t>
      </w:r>
      <w:r w:rsidR="0055449C">
        <w:rPr>
          <w:rFonts w:ascii="Bookman Old Style" w:hAnsi="Bookman Old Style"/>
          <w:b/>
          <w:sz w:val="24"/>
        </w:rPr>
        <w:t>L’ASSEMBLÉE PLÉNIÈRE</w:t>
      </w:r>
    </w:p>
    <w:p w14:paraId="1EEA95BF" w14:textId="638FD61A" w:rsidR="00CA0CD4" w:rsidRPr="00FD65FF" w:rsidRDefault="001F05F8" w:rsidP="00FD65FF">
      <w:pPr>
        <w:ind w:left="720"/>
        <w:jc w:val="both"/>
        <w:rPr>
          <w:rFonts w:ascii="Bookman Old Style" w:hAnsi="Bookman Old Style"/>
          <w:b/>
          <w:bCs/>
          <w:sz w:val="24"/>
          <w:szCs w:val="24"/>
        </w:rPr>
      </w:pPr>
      <w:r>
        <w:rPr>
          <w:rFonts w:ascii="Bookman Old Style" w:hAnsi="Bookman Old Style"/>
          <w:b/>
          <w:sz w:val="24"/>
        </w:rPr>
        <w:t>L</w:t>
      </w:r>
      <w:r w:rsidR="0055449C">
        <w:rPr>
          <w:rFonts w:ascii="Bookman Old Style" w:hAnsi="Bookman Old Style"/>
          <w:b/>
          <w:sz w:val="24"/>
        </w:rPr>
        <w:t>’Assemblée plénière</w:t>
      </w:r>
      <w:r>
        <w:rPr>
          <w:rFonts w:ascii="Bookman Old Style" w:hAnsi="Bookman Old Style"/>
          <w:b/>
          <w:sz w:val="24"/>
        </w:rPr>
        <w:t xml:space="preserve"> est prié</w:t>
      </w:r>
      <w:r w:rsidR="0055449C">
        <w:rPr>
          <w:rFonts w:ascii="Bookman Old Style" w:hAnsi="Bookman Old Style"/>
          <w:b/>
          <w:sz w:val="24"/>
        </w:rPr>
        <w:t>e</w:t>
      </w:r>
      <w:r>
        <w:rPr>
          <w:rFonts w:ascii="Bookman Old Style" w:hAnsi="Bookman Old Style"/>
          <w:b/>
          <w:sz w:val="24"/>
        </w:rPr>
        <w:t xml:space="preserve"> de prendre note de la finalisation de la révision du Manuel des politiques et procédures financières</w:t>
      </w:r>
      <w:r w:rsidR="00DA7B77">
        <w:rPr>
          <w:rFonts w:ascii="Bookman Old Style" w:hAnsi="Bookman Old Style"/>
          <w:b/>
          <w:sz w:val="24"/>
        </w:rPr>
        <w:t>.</w:t>
      </w:r>
    </w:p>
    <w:sectPr w:rsidR="00CA0CD4" w:rsidRPr="00FD65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BE4D" w14:textId="77777777" w:rsidR="00CC034C" w:rsidRDefault="00CC034C">
      <w:pPr>
        <w:spacing w:after="0" w:line="240" w:lineRule="auto"/>
      </w:pPr>
      <w:r>
        <w:separator/>
      </w:r>
    </w:p>
  </w:endnote>
  <w:endnote w:type="continuationSeparator" w:id="0">
    <w:p w14:paraId="00356DD2" w14:textId="77777777" w:rsidR="00CC034C" w:rsidRDefault="00CC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OldStyle-Bold">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sz w:val="20"/>
        <w:szCs w:val="20"/>
      </w:rPr>
      <w:id w:val="1964852840"/>
      <w:docPartObj>
        <w:docPartGallery w:val="Page Numbers (Bottom of Page)"/>
        <w:docPartUnique/>
      </w:docPartObj>
    </w:sdtPr>
    <w:sdtEndPr/>
    <w:sdtContent>
      <w:sdt>
        <w:sdtPr>
          <w:rPr>
            <w:rFonts w:ascii="Bookman Old Style" w:hAnsi="Bookman Old Style"/>
            <w:sz w:val="20"/>
            <w:szCs w:val="20"/>
          </w:rPr>
          <w:id w:val="1728636285"/>
          <w:docPartObj>
            <w:docPartGallery w:val="Page Numbers (Top of Page)"/>
            <w:docPartUnique/>
          </w:docPartObj>
        </w:sdtPr>
        <w:sdtEndPr/>
        <w:sdtContent>
          <w:p w14:paraId="52D5FE2C" w14:textId="77777777" w:rsidR="00D51038" w:rsidRPr="00436BCD" w:rsidRDefault="00043B45" w:rsidP="00436BCD">
            <w:pPr>
              <w:pStyle w:val="Footer"/>
              <w:jc w:val="right"/>
              <w:rPr>
                <w:rFonts w:ascii="Bookman Old Style" w:hAnsi="Bookman Old Style"/>
                <w:sz w:val="20"/>
                <w:szCs w:val="20"/>
              </w:rPr>
            </w:pPr>
            <w:r>
              <w:rPr>
                <w:rFonts w:ascii="Bookman Old Style" w:hAnsi="Bookman Old Style"/>
                <w:sz w:val="20"/>
              </w:rPr>
              <w:t xml:space="preserve">Page </w:t>
            </w:r>
            <w:r w:rsidRPr="00436BCD">
              <w:rPr>
                <w:rFonts w:ascii="Bookman Old Style" w:hAnsi="Bookman Old Style"/>
                <w:sz w:val="20"/>
              </w:rPr>
              <w:fldChar w:fldCharType="begin"/>
            </w:r>
            <w:r w:rsidRPr="00436BCD">
              <w:rPr>
                <w:rFonts w:ascii="Bookman Old Style" w:hAnsi="Bookman Old Style"/>
                <w:sz w:val="20"/>
              </w:rPr>
              <w:instrText xml:space="preserve"> PAGE </w:instrText>
            </w:r>
            <w:r w:rsidRPr="00436BCD">
              <w:rPr>
                <w:rFonts w:ascii="Bookman Old Style" w:hAnsi="Bookman Old Style"/>
                <w:sz w:val="20"/>
              </w:rPr>
              <w:fldChar w:fldCharType="separate"/>
            </w:r>
            <w:r w:rsidRPr="00436BCD">
              <w:rPr>
                <w:rFonts w:ascii="Bookman Old Style" w:hAnsi="Bookman Old Style"/>
                <w:sz w:val="20"/>
              </w:rPr>
              <w:t>2</w:t>
            </w:r>
            <w:r w:rsidRPr="00436BCD">
              <w:rPr>
                <w:rFonts w:ascii="Bookman Old Style" w:hAnsi="Bookman Old Style"/>
                <w:sz w:val="20"/>
              </w:rPr>
              <w:fldChar w:fldCharType="end"/>
            </w:r>
            <w:r>
              <w:rPr>
                <w:rFonts w:ascii="Bookman Old Style" w:hAnsi="Bookman Old Style"/>
                <w:sz w:val="20"/>
              </w:rPr>
              <w:t xml:space="preserve"> / </w:t>
            </w:r>
            <w:r w:rsidRPr="00436BCD">
              <w:rPr>
                <w:rFonts w:ascii="Bookman Old Style" w:hAnsi="Bookman Old Style"/>
                <w:sz w:val="20"/>
              </w:rPr>
              <w:fldChar w:fldCharType="begin"/>
            </w:r>
            <w:r w:rsidRPr="00436BCD">
              <w:rPr>
                <w:rFonts w:ascii="Bookman Old Style" w:hAnsi="Bookman Old Style"/>
                <w:sz w:val="20"/>
              </w:rPr>
              <w:instrText xml:space="preserve"> NUMPAGES  </w:instrText>
            </w:r>
            <w:r w:rsidRPr="00436BCD">
              <w:rPr>
                <w:rFonts w:ascii="Bookman Old Style" w:hAnsi="Bookman Old Style"/>
                <w:sz w:val="20"/>
              </w:rPr>
              <w:fldChar w:fldCharType="separate"/>
            </w:r>
            <w:r w:rsidRPr="00436BCD">
              <w:rPr>
                <w:rFonts w:ascii="Bookman Old Style" w:hAnsi="Bookman Old Style"/>
                <w:sz w:val="20"/>
              </w:rPr>
              <w:t>2</w:t>
            </w:r>
            <w:r w:rsidRPr="00436BCD">
              <w:rPr>
                <w:rFonts w:ascii="Bookman Old Style" w:hAnsi="Bookman Old Style"/>
                <w:sz w:val="20"/>
              </w:rPr>
              <w:fldChar w:fldCharType="end"/>
            </w:r>
          </w:p>
        </w:sdtContent>
      </w:sdt>
    </w:sdtContent>
  </w:sdt>
  <w:p w14:paraId="7684C143" w14:textId="77777777" w:rsidR="00D51038" w:rsidRDefault="00C01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EFFB" w14:textId="77777777" w:rsidR="00CC034C" w:rsidRDefault="00CC034C">
      <w:pPr>
        <w:spacing w:after="0" w:line="240" w:lineRule="auto"/>
      </w:pPr>
      <w:r>
        <w:separator/>
      </w:r>
    </w:p>
  </w:footnote>
  <w:footnote w:type="continuationSeparator" w:id="0">
    <w:p w14:paraId="72AE5586" w14:textId="77777777" w:rsidR="00CC034C" w:rsidRDefault="00CC0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04C"/>
    <w:multiLevelType w:val="multilevel"/>
    <w:tmpl w:val="DD3CC49A"/>
    <w:lvl w:ilvl="0">
      <w:start w:val="1"/>
      <w:numFmt w:val="decimal"/>
      <w:lvlText w:val="%1."/>
      <w:lvlJc w:val="left"/>
      <w:pPr>
        <w:ind w:left="864" w:hanging="864"/>
      </w:pPr>
      <w:rPr>
        <w:rFonts w:hint="default"/>
      </w:rPr>
    </w:lvl>
    <w:lvl w:ilvl="1">
      <w:start w:val="2"/>
      <w:numFmt w:val="decimal"/>
      <w:lvlText w:val="%1.%2."/>
      <w:lvlJc w:val="left"/>
      <w:pPr>
        <w:ind w:left="864" w:hanging="864"/>
      </w:pPr>
      <w:rPr>
        <w:rFonts w:hint="default"/>
      </w:rPr>
    </w:lvl>
    <w:lvl w:ilvl="2">
      <w:start w:val="2"/>
      <w:numFmt w:val="decimal"/>
      <w:lvlText w:val="%1.%2.%3."/>
      <w:lvlJc w:val="left"/>
      <w:pPr>
        <w:ind w:left="864" w:hanging="864"/>
      </w:pPr>
      <w:rPr>
        <w:rFonts w:hint="default"/>
      </w:rPr>
    </w:lvl>
    <w:lvl w:ilvl="3">
      <w:start w:val="3"/>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A2EEC"/>
    <w:multiLevelType w:val="multilevel"/>
    <w:tmpl w:val="928ED2CC"/>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B73D26"/>
    <w:multiLevelType w:val="multilevel"/>
    <w:tmpl w:val="7478B048"/>
    <w:lvl w:ilvl="0">
      <w:start w:val="2"/>
      <w:numFmt w:val="decimal"/>
      <w:lvlText w:val="%1."/>
      <w:lvlJc w:val="left"/>
      <w:pPr>
        <w:ind w:left="864" w:hanging="864"/>
      </w:pPr>
      <w:rPr>
        <w:rFonts w:hint="default"/>
      </w:rPr>
    </w:lvl>
    <w:lvl w:ilvl="1">
      <w:start w:val="3"/>
      <w:numFmt w:val="decimal"/>
      <w:lvlText w:val="%1.%2."/>
      <w:lvlJc w:val="left"/>
      <w:pPr>
        <w:ind w:left="864" w:hanging="864"/>
      </w:pPr>
      <w:rPr>
        <w:rFonts w:hint="default"/>
      </w:rPr>
    </w:lvl>
    <w:lvl w:ilvl="2">
      <w:start w:val="3"/>
      <w:numFmt w:val="decimal"/>
      <w:lvlText w:val="%1.%2.%3."/>
      <w:lvlJc w:val="left"/>
      <w:pPr>
        <w:ind w:left="864" w:hanging="864"/>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D2754C"/>
    <w:multiLevelType w:val="multilevel"/>
    <w:tmpl w:val="03701928"/>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CD547C"/>
    <w:multiLevelType w:val="multilevel"/>
    <w:tmpl w:val="0A2EF0EE"/>
    <w:lvl w:ilvl="0">
      <w:start w:val="1"/>
      <w:numFmt w:val="decimal"/>
      <w:lvlText w:val="%1."/>
      <w:lvlJc w:val="left"/>
      <w:pPr>
        <w:ind w:left="648" w:hanging="648"/>
      </w:pPr>
      <w:rPr>
        <w:rFonts w:hint="default"/>
        <w:b w:val="0"/>
      </w:rPr>
    </w:lvl>
    <w:lvl w:ilvl="1">
      <w:start w:val="3"/>
      <w:numFmt w:val="decimal"/>
      <w:lvlText w:val="%1.%2."/>
      <w:lvlJc w:val="left"/>
      <w:pPr>
        <w:ind w:left="900" w:hanging="720"/>
      </w:pPr>
      <w:rPr>
        <w:rFonts w:hint="default"/>
        <w:b w:val="0"/>
      </w:rPr>
    </w:lvl>
    <w:lvl w:ilvl="2">
      <w:start w:val="2"/>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val="0"/>
      </w:rPr>
    </w:lvl>
    <w:lvl w:ilvl="4">
      <w:start w:val="1"/>
      <w:numFmt w:val="decimal"/>
      <w:lvlText w:val="%1.%2.%3.%4.%5."/>
      <w:lvlJc w:val="left"/>
      <w:pPr>
        <w:ind w:left="2160" w:hanging="144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880" w:hanging="1800"/>
      </w:pPr>
      <w:rPr>
        <w:rFonts w:hint="default"/>
        <w:b w:val="0"/>
      </w:rPr>
    </w:lvl>
    <w:lvl w:ilvl="7">
      <w:start w:val="1"/>
      <w:numFmt w:val="decimal"/>
      <w:lvlText w:val="%1.%2.%3.%4.%5.%6.%7.%8."/>
      <w:lvlJc w:val="left"/>
      <w:pPr>
        <w:ind w:left="3420" w:hanging="2160"/>
      </w:pPr>
      <w:rPr>
        <w:rFonts w:hint="default"/>
        <w:b w:val="0"/>
      </w:rPr>
    </w:lvl>
    <w:lvl w:ilvl="8">
      <w:start w:val="1"/>
      <w:numFmt w:val="decimal"/>
      <w:lvlText w:val="%1.%2.%3.%4.%5.%6.%7.%8.%9."/>
      <w:lvlJc w:val="left"/>
      <w:pPr>
        <w:ind w:left="3600" w:hanging="2160"/>
      </w:pPr>
      <w:rPr>
        <w:rFonts w:hint="default"/>
        <w:b w:val="0"/>
      </w:rPr>
    </w:lvl>
  </w:abstractNum>
  <w:abstractNum w:abstractNumId="5" w15:restartNumberingAfterBreak="0">
    <w:nsid w:val="0F1E26DE"/>
    <w:multiLevelType w:val="hybridMultilevel"/>
    <w:tmpl w:val="2646B2FA"/>
    <w:lvl w:ilvl="0" w:tplc="A7B8D682">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023363"/>
    <w:multiLevelType w:val="multilevel"/>
    <w:tmpl w:val="12045F3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31F4352"/>
    <w:multiLevelType w:val="multilevel"/>
    <w:tmpl w:val="2176FA14"/>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E953E1"/>
    <w:multiLevelType w:val="hybridMultilevel"/>
    <w:tmpl w:val="5528755E"/>
    <w:lvl w:ilvl="0" w:tplc="ED9E9010">
      <w:start w:val="1"/>
      <w:numFmt w:val="lowerRoman"/>
      <w:lvlText w:val="(%1)"/>
      <w:lvlJc w:val="right"/>
      <w:pPr>
        <w:ind w:left="720" w:hanging="360"/>
      </w:pPr>
      <w:rPr>
        <w:rFonts w:ascii="Calibri" w:eastAsia="Calibri" w:hAnsi="Calibri"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D53E6D"/>
    <w:multiLevelType w:val="multilevel"/>
    <w:tmpl w:val="417696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0146486"/>
    <w:multiLevelType w:val="hybridMultilevel"/>
    <w:tmpl w:val="E4E25746"/>
    <w:lvl w:ilvl="0" w:tplc="8B3637F6">
      <w:start w:val="1"/>
      <w:numFmt w:val="lowerRoman"/>
      <w:lvlText w:val="%1."/>
      <w:lvlJc w:val="left"/>
      <w:pPr>
        <w:ind w:left="1440" w:hanging="360"/>
      </w:pPr>
      <w:rPr>
        <w:rFonts w:ascii="Bookman Old Style" w:eastAsia="Calibri" w:hAnsi="Bookman Old Style" w:cs="Arial"/>
      </w:r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25794A38"/>
    <w:multiLevelType w:val="multilevel"/>
    <w:tmpl w:val="F5988AD6"/>
    <w:lvl w:ilvl="0">
      <w:start w:val="3"/>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51B0C"/>
    <w:multiLevelType w:val="hybridMultilevel"/>
    <w:tmpl w:val="DBA62218"/>
    <w:lvl w:ilvl="0" w:tplc="D05CD52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973684"/>
    <w:multiLevelType w:val="multilevel"/>
    <w:tmpl w:val="57D294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C51491C"/>
    <w:multiLevelType w:val="hybridMultilevel"/>
    <w:tmpl w:val="78167D36"/>
    <w:lvl w:ilvl="0" w:tplc="E13EAD22">
      <w:start w:val="1"/>
      <w:numFmt w:val="low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C8930F3"/>
    <w:multiLevelType w:val="hybridMultilevel"/>
    <w:tmpl w:val="EB82705C"/>
    <w:lvl w:ilvl="0" w:tplc="0F906D3E">
      <w:start w:val="1"/>
      <w:numFmt w:val="lowerLetter"/>
      <w:lvlText w:val="(%1)"/>
      <w:lvlJc w:val="left"/>
      <w:pPr>
        <w:ind w:left="1440" w:hanging="720"/>
      </w:pPr>
      <w:rPr>
        <w:rFonts w:ascii="Bookman Old Style" w:eastAsia="Calibri" w:hAnsi="Bookman Old Style" w:cs="Arial"/>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2DCE06D3"/>
    <w:multiLevelType w:val="multilevel"/>
    <w:tmpl w:val="58ECC5B6"/>
    <w:lvl w:ilvl="0">
      <w:start w:val="1"/>
      <w:numFmt w:val="decimal"/>
      <w:lvlText w:val="%1."/>
      <w:lvlJc w:val="left"/>
      <w:pPr>
        <w:ind w:left="1080" w:hanging="1080"/>
      </w:pPr>
      <w:rPr>
        <w:rFonts w:hint="default"/>
      </w:rPr>
    </w:lvl>
    <w:lvl w:ilvl="1">
      <w:start w:val="2"/>
      <w:numFmt w:val="decimal"/>
      <w:lvlText w:val="%1.%2."/>
      <w:lvlJc w:val="left"/>
      <w:pPr>
        <w:ind w:left="1170" w:hanging="1080"/>
      </w:pPr>
      <w:rPr>
        <w:rFonts w:hint="default"/>
      </w:rPr>
    </w:lvl>
    <w:lvl w:ilvl="2">
      <w:start w:val="4"/>
      <w:numFmt w:val="decimal"/>
      <w:lvlText w:val="%1.%2.%3."/>
      <w:lvlJc w:val="left"/>
      <w:pPr>
        <w:ind w:left="1260" w:hanging="1080"/>
      </w:pPr>
      <w:rPr>
        <w:rFonts w:hint="default"/>
        <w:b/>
        <w:bCs/>
      </w:rPr>
    </w:lvl>
    <w:lvl w:ilvl="3">
      <w:start w:val="3"/>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7" w15:restartNumberingAfterBreak="0">
    <w:nsid w:val="2E1D4B11"/>
    <w:multiLevelType w:val="multilevel"/>
    <w:tmpl w:val="1CD8076C"/>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F239E9"/>
    <w:multiLevelType w:val="hybridMultilevel"/>
    <w:tmpl w:val="B58AE71A"/>
    <w:lvl w:ilvl="0" w:tplc="EC842F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53306F"/>
    <w:multiLevelType w:val="multilevel"/>
    <w:tmpl w:val="B20C23AA"/>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CD335A"/>
    <w:multiLevelType w:val="hybridMultilevel"/>
    <w:tmpl w:val="0892333A"/>
    <w:lvl w:ilvl="0" w:tplc="4A5056E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B34B4F"/>
    <w:multiLevelType w:val="hybridMultilevel"/>
    <w:tmpl w:val="8F3EA6A4"/>
    <w:lvl w:ilvl="0" w:tplc="9252C1DA">
      <w:start w:val="1"/>
      <w:numFmt w:val="lowerLetter"/>
      <w:lvlText w:val="%1)"/>
      <w:lvlJc w:val="left"/>
      <w:pPr>
        <w:ind w:left="1440" w:hanging="360"/>
      </w:pPr>
      <w:rPr>
        <w:rFonts w:hint="default"/>
        <w:b/>
        <w:b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36923D6A"/>
    <w:multiLevelType w:val="hybridMultilevel"/>
    <w:tmpl w:val="409E54D4"/>
    <w:lvl w:ilvl="0" w:tplc="966A05C2">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3D866F70"/>
    <w:multiLevelType w:val="multilevel"/>
    <w:tmpl w:val="8540578A"/>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30458B"/>
    <w:multiLevelType w:val="multilevel"/>
    <w:tmpl w:val="631ECD9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76D5761"/>
    <w:multiLevelType w:val="multilevel"/>
    <w:tmpl w:val="B91040A4"/>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720610"/>
    <w:multiLevelType w:val="multilevel"/>
    <w:tmpl w:val="A6CA1A1A"/>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2430E7"/>
    <w:multiLevelType w:val="multilevel"/>
    <w:tmpl w:val="9CF03CC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7920" w:hanging="2160"/>
      </w:pPr>
      <w:rPr>
        <w:rFonts w:hint="default"/>
        <w:u w:val="none"/>
      </w:rPr>
    </w:lvl>
  </w:abstractNum>
  <w:abstractNum w:abstractNumId="28" w15:restartNumberingAfterBreak="0">
    <w:nsid w:val="4950500B"/>
    <w:multiLevelType w:val="multilevel"/>
    <w:tmpl w:val="30A0E864"/>
    <w:lvl w:ilvl="0">
      <w:start w:val="1"/>
      <w:numFmt w:val="decimal"/>
      <w:lvlText w:val="8.%1"/>
      <w:lvlJc w:val="left"/>
      <w:pPr>
        <w:ind w:left="574" w:hanging="432"/>
      </w:pPr>
      <w:rPr>
        <w:rFonts w:hint="default"/>
        <w:sz w:val="28"/>
        <w:szCs w:val="26"/>
      </w:rPr>
    </w:lvl>
    <w:lvl w:ilvl="1">
      <w:start w:val="1"/>
      <w:numFmt w:val="lowerLetter"/>
      <w:lvlText w:val="(%2)"/>
      <w:lvlJc w:val="left"/>
      <w:pPr>
        <w:ind w:left="576" w:hanging="576"/>
      </w:pPr>
      <w:rPr>
        <w:rFonts w:ascii="Calibri" w:eastAsia="Times New Roman" w:hAnsi="Calibri" w:cs="Times New Roman"/>
        <w:b/>
      </w:rPr>
    </w:lvl>
    <w:lvl w:ilvl="2">
      <w:start w:val="1"/>
      <w:numFmt w:val="decimal"/>
      <w:lvlText w:val="%1.%2.%3"/>
      <w:lvlJc w:val="left"/>
      <w:pPr>
        <w:ind w:left="436" w:hanging="720"/>
      </w:pPr>
      <w:rPr>
        <w:rFonts w:hint="default"/>
        <w:b w:val="0"/>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9" w15:restartNumberingAfterBreak="0">
    <w:nsid w:val="51823C67"/>
    <w:multiLevelType w:val="hybridMultilevel"/>
    <w:tmpl w:val="E43A1FFC"/>
    <w:lvl w:ilvl="0" w:tplc="74EACB2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4BB4185"/>
    <w:multiLevelType w:val="hybridMultilevel"/>
    <w:tmpl w:val="E76A4B42"/>
    <w:lvl w:ilvl="0" w:tplc="D7CEADF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8C71921"/>
    <w:multiLevelType w:val="hybridMultilevel"/>
    <w:tmpl w:val="4D2CE8F2"/>
    <w:lvl w:ilvl="0" w:tplc="B87AC7B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DFB31F7"/>
    <w:multiLevelType w:val="multilevel"/>
    <w:tmpl w:val="FCA86AC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E855986"/>
    <w:multiLevelType w:val="multilevel"/>
    <w:tmpl w:val="D38A0744"/>
    <w:lvl w:ilvl="0">
      <w:start w:val="3"/>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0127BF"/>
    <w:multiLevelType w:val="hybridMultilevel"/>
    <w:tmpl w:val="A9B86EA8"/>
    <w:lvl w:ilvl="0" w:tplc="DC0677E2">
      <w:start w:val="1"/>
      <w:numFmt w:val="lowerLetter"/>
      <w:lvlText w:val="%1)"/>
      <w:lvlJc w:val="left"/>
      <w:pPr>
        <w:ind w:left="1440" w:hanging="360"/>
      </w:pPr>
      <w:rPr>
        <w:rFonts w:hint="default"/>
      </w:rPr>
    </w:lvl>
    <w:lvl w:ilvl="1" w:tplc="AC141738">
      <w:start w:val="1"/>
      <w:numFmt w:val="lowerRoman"/>
      <w:lvlText w:val="(%2)"/>
      <w:lvlJc w:val="left"/>
      <w:pPr>
        <w:ind w:left="2520" w:hanging="720"/>
      </w:pPr>
      <w:rPr>
        <w:rFonts w:hint="default"/>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15:restartNumberingAfterBreak="0">
    <w:nsid w:val="614E294A"/>
    <w:multiLevelType w:val="multilevel"/>
    <w:tmpl w:val="5D2E0436"/>
    <w:lvl w:ilvl="0">
      <w:start w:val="1"/>
      <w:numFmt w:val="decimal"/>
      <w:lvlText w:val="%1"/>
      <w:lvlJc w:val="left"/>
      <w:pPr>
        <w:ind w:left="574" w:hanging="432"/>
      </w:pPr>
      <w:rPr>
        <w:rFonts w:ascii="Cambria" w:hAnsi="Cambria" w:hint="default"/>
        <w:sz w:val="28"/>
        <w:szCs w:val="26"/>
      </w:rPr>
    </w:lvl>
    <w:lvl w:ilvl="1">
      <w:start w:val="1"/>
      <w:numFmt w:val="decimal"/>
      <w:lvlText w:val="(%2)"/>
      <w:lvlJc w:val="left"/>
      <w:pPr>
        <w:ind w:left="576" w:hanging="576"/>
      </w:pPr>
      <w:rPr>
        <w:rFonts w:hint="default"/>
        <w:b w:val="0"/>
      </w:rPr>
    </w:lvl>
    <w:lvl w:ilvl="2">
      <w:start w:val="1"/>
      <w:numFmt w:val="lowerRoman"/>
      <w:lvlText w:val="(%3)"/>
      <w:lvlJc w:val="left"/>
      <w:pPr>
        <w:ind w:left="436" w:hanging="720"/>
      </w:pPr>
      <w:rPr>
        <w:rFonts w:ascii="Calibri" w:eastAsia="Times New Roman" w:hAnsi="Calibri" w:cs="Times New Roman" w:hint="default"/>
        <w:b w:val="0"/>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36" w15:restartNumberingAfterBreak="0">
    <w:nsid w:val="66A63318"/>
    <w:multiLevelType w:val="hybridMultilevel"/>
    <w:tmpl w:val="730E7022"/>
    <w:lvl w:ilvl="0" w:tplc="1F5E9A0E">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7" w15:restartNumberingAfterBreak="0">
    <w:nsid w:val="6A0C1FDE"/>
    <w:multiLevelType w:val="hybridMultilevel"/>
    <w:tmpl w:val="ED0C7338"/>
    <w:lvl w:ilvl="0" w:tplc="FFFFFFFF">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B51517B"/>
    <w:multiLevelType w:val="multilevel"/>
    <w:tmpl w:val="22B62BB6"/>
    <w:lvl w:ilvl="0">
      <w:start w:val="4"/>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39059D"/>
    <w:multiLevelType w:val="hybridMultilevel"/>
    <w:tmpl w:val="3534723E"/>
    <w:lvl w:ilvl="0" w:tplc="B6F0B91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DA815A5"/>
    <w:multiLevelType w:val="hybridMultilevel"/>
    <w:tmpl w:val="51E4ED5C"/>
    <w:lvl w:ilvl="0" w:tplc="C92E817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8797A56"/>
    <w:multiLevelType w:val="hybridMultilevel"/>
    <w:tmpl w:val="1D76B94C"/>
    <w:lvl w:ilvl="0" w:tplc="1A8CF3F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90D31A1"/>
    <w:multiLevelType w:val="multilevel"/>
    <w:tmpl w:val="C9EE51A4"/>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98C4617"/>
    <w:multiLevelType w:val="hybridMultilevel"/>
    <w:tmpl w:val="3BEAE8E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DE340F8"/>
    <w:multiLevelType w:val="hybridMultilevel"/>
    <w:tmpl w:val="2B92E950"/>
    <w:lvl w:ilvl="0" w:tplc="FFFFFFFF">
      <w:start w:val="1"/>
      <w:numFmt w:val="lowerRoman"/>
      <w:lvlText w:val="(%1)"/>
      <w:lvlJc w:val="right"/>
      <w:pPr>
        <w:ind w:left="720" w:hanging="360"/>
      </w:pPr>
      <w:rPr>
        <w:rFonts w:ascii="Calibri" w:eastAsia="Calibri" w:hAnsi="Calibri" w:cs="Times New Roman"/>
      </w:rPr>
    </w:lvl>
    <w:lvl w:ilvl="1" w:tplc="7A14B128">
      <w:start w:val="1"/>
      <w:numFmt w:val="lowerRoman"/>
      <w:lvlText w:val="(%2)"/>
      <w:lvlJc w:val="left"/>
      <w:pPr>
        <w:ind w:left="1440" w:hanging="360"/>
      </w:pPr>
      <w:rPr>
        <w:rFonts w:ascii="Times New Roman" w:hAnsi="Times New Roman"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4E498C"/>
    <w:multiLevelType w:val="multilevel"/>
    <w:tmpl w:val="79427F30"/>
    <w:lvl w:ilvl="0">
      <w:start w:val="2"/>
      <w:numFmt w:val="decimal"/>
      <w:lvlText w:val="%1.0."/>
      <w:lvlJc w:val="left"/>
      <w:pPr>
        <w:ind w:left="862"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2"/>
  </w:num>
  <w:num w:numId="2">
    <w:abstractNumId w:val="13"/>
  </w:num>
  <w:num w:numId="3">
    <w:abstractNumId w:val="30"/>
  </w:num>
  <w:num w:numId="4">
    <w:abstractNumId w:val="22"/>
  </w:num>
  <w:num w:numId="5">
    <w:abstractNumId w:val="21"/>
  </w:num>
  <w:num w:numId="6">
    <w:abstractNumId w:val="40"/>
  </w:num>
  <w:num w:numId="7">
    <w:abstractNumId w:val="10"/>
  </w:num>
  <w:num w:numId="8">
    <w:abstractNumId w:val="14"/>
  </w:num>
  <w:num w:numId="9">
    <w:abstractNumId w:val="18"/>
  </w:num>
  <w:num w:numId="10">
    <w:abstractNumId w:val="12"/>
  </w:num>
  <w:num w:numId="11">
    <w:abstractNumId w:val="20"/>
  </w:num>
  <w:num w:numId="12">
    <w:abstractNumId w:val="23"/>
  </w:num>
  <w:num w:numId="13">
    <w:abstractNumId w:val="7"/>
  </w:num>
  <w:num w:numId="14">
    <w:abstractNumId w:val="1"/>
  </w:num>
  <w:num w:numId="15">
    <w:abstractNumId w:val="4"/>
  </w:num>
  <w:num w:numId="16">
    <w:abstractNumId w:val="24"/>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7"/>
  </w:num>
  <w:num w:numId="20">
    <w:abstractNumId w:val="16"/>
  </w:num>
  <w:num w:numId="21">
    <w:abstractNumId w:val="31"/>
  </w:num>
  <w:num w:numId="22">
    <w:abstractNumId w:val="0"/>
  </w:num>
  <w:num w:numId="23">
    <w:abstractNumId w:val="36"/>
  </w:num>
  <w:num w:numId="24">
    <w:abstractNumId w:val="34"/>
  </w:num>
  <w:num w:numId="25">
    <w:abstractNumId w:val="29"/>
  </w:num>
  <w:num w:numId="26">
    <w:abstractNumId w:val="41"/>
  </w:num>
  <w:num w:numId="27">
    <w:abstractNumId w:val="26"/>
  </w:num>
  <w:num w:numId="28">
    <w:abstractNumId w:val="39"/>
  </w:num>
  <w:num w:numId="29">
    <w:abstractNumId w:val="45"/>
  </w:num>
  <w:num w:numId="30">
    <w:abstractNumId w:val="9"/>
  </w:num>
  <w:num w:numId="31">
    <w:abstractNumId w:val="27"/>
  </w:num>
  <w:num w:numId="32">
    <w:abstractNumId w:val="19"/>
  </w:num>
  <w:num w:numId="33">
    <w:abstractNumId w:val="2"/>
  </w:num>
  <w:num w:numId="34">
    <w:abstractNumId w:val="15"/>
  </w:num>
  <w:num w:numId="35">
    <w:abstractNumId w:val="5"/>
  </w:num>
  <w:num w:numId="36">
    <w:abstractNumId w:val="32"/>
  </w:num>
  <w:num w:numId="37">
    <w:abstractNumId w:val="25"/>
  </w:num>
  <w:num w:numId="38">
    <w:abstractNumId w:val="3"/>
  </w:num>
  <w:num w:numId="39">
    <w:abstractNumId w:val="11"/>
  </w:num>
  <w:num w:numId="40">
    <w:abstractNumId w:val="43"/>
  </w:num>
  <w:num w:numId="41">
    <w:abstractNumId w:val="37"/>
  </w:num>
  <w:num w:numId="42">
    <w:abstractNumId w:val="35"/>
  </w:num>
  <w:num w:numId="43">
    <w:abstractNumId w:val="28"/>
  </w:num>
  <w:num w:numId="44">
    <w:abstractNumId w:val="8"/>
  </w:num>
  <w:num w:numId="45">
    <w:abstractNumId w:val="44"/>
  </w:num>
  <w:num w:numId="46">
    <w:abstractNumId w:val="3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7F"/>
    <w:rsid w:val="00003793"/>
    <w:rsid w:val="00005B44"/>
    <w:rsid w:val="0000653C"/>
    <w:rsid w:val="00013E9A"/>
    <w:rsid w:val="00021300"/>
    <w:rsid w:val="00031E5B"/>
    <w:rsid w:val="0003326C"/>
    <w:rsid w:val="00034191"/>
    <w:rsid w:val="00035161"/>
    <w:rsid w:val="00035315"/>
    <w:rsid w:val="000374CF"/>
    <w:rsid w:val="00041D11"/>
    <w:rsid w:val="00042020"/>
    <w:rsid w:val="00043A90"/>
    <w:rsid w:val="00043B45"/>
    <w:rsid w:val="00045557"/>
    <w:rsid w:val="00051965"/>
    <w:rsid w:val="00052688"/>
    <w:rsid w:val="00054459"/>
    <w:rsid w:val="000566C1"/>
    <w:rsid w:val="0006107B"/>
    <w:rsid w:val="00076657"/>
    <w:rsid w:val="0008076D"/>
    <w:rsid w:val="00081DEC"/>
    <w:rsid w:val="00082948"/>
    <w:rsid w:val="0009138B"/>
    <w:rsid w:val="00094D83"/>
    <w:rsid w:val="00095023"/>
    <w:rsid w:val="000A5AB5"/>
    <w:rsid w:val="000A68DC"/>
    <w:rsid w:val="000B430B"/>
    <w:rsid w:val="000B655A"/>
    <w:rsid w:val="000C2E6F"/>
    <w:rsid w:val="000C4C8F"/>
    <w:rsid w:val="000C6D0E"/>
    <w:rsid w:val="000D320E"/>
    <w:rsid w:val="000D665D"/>
    <w:rsid w:val="000D7845"/>
    <w:rsid w:val="000E0535"/>
    <w:rsid w:val="000E1331"/>
    <w:rsid w:val="000E4FC8"/>
    <w:rsid w:val="000E6B7E"/>
    <w:rsid w:val="000F14DE"/>
    <w:rsid w:val="000F39D1"/>
    <w:rsid w:val="000F564E"/>
    <w:rsid w:val="000F597D"/>
    <w:rsid w:val="000F62FB"/>
    <w:rsid w:val="001014CE"/>
    <w:rsid w:val="00102E58"/>
    <w:rsid w:val="00110117"/>
    <w:rsid w:val="001114A5"/>
    <w:rsid w:val="00122A3E"/>
    <w:rsid w:val="0012312F"/>
    <w:rsid w:val="0013690B"/>
    <w:rsid w:val="00142D0E"/>
    <w:rsid w:val="001431F1"/>
    <w:rsid w:val="0014743D"/>
    <w:rsid w:val="001557F8"/>
    <w:rsid w:val="001616D8"/>
    <w:rsid w:val="001734A7"/>
    <w:rsid w:val="001750A9"/>
    <w:rsid w:val="001769B3"/>
    <w:rsid w:val="00184B2B"/>
    <w:rsid w:val="00184DD5"/>
    <w:rsid w:val="00185E60"/>
    <w:rsid w:val="00186B88"/>
    <w:rsid w:val="00193CB1"/>
    <w:rsid w:val="001969BB"/>
    <w:rsid w:val="001A07E5"/>
    <w:rsid w:val="001A1C6D"/>
    <w:rsid w:val="001A2B6E"/>
    <w:rsid w:val="001B03FF"/>
    <w:rsid w:val="001B3C34"/>
    <w:rsid w:val="001C0054"/>
    <w:rsid w:val="001C167A"/>
    <w:rsid w:val="001C3254"/>
    <w:rsid w:val="001C3925"/>
    <w:rsid w:val="001C6F91"/>
    <w:rsid w:val="001D21EB"/>
    <w:rsid w:val="001D236C"/>
    <w:rsid w:val="001E1162"/>
    <w:rsid w:val="001E1940"/>
    <w:rsid w:val="001E6433"/>
    <w:rsid w:val="001E6B7C"/>
    <w:rsid w:val="001F05F8"/>
    <w:rsid w:val="001F3A04"/>
    <w:rsid w:val="001F4671"/>
    <w:rsid w:val="001F4E4D"/>
    <w:rsid w:val="001F7E21"/>
    <w:rsid w:val="0021173E"/>
    <w:rsid w:val="00216900"/>
    <w:rsid w:val="00216B79"/>
    <w:rsid w:val="00220799"/>
    <w:rsid w:val="00223562"/>
    <w:rsid w:val="002312EC"/>
    <w:rsid w:val="0023436D"/>
    <w:rsid w:val="00245254"/>
    <w:rsid w:val="00247B41"/>
    <w:rsid w:val="00247B56"/>
    <w:rsid w:val="00252E37"/>
    <w:rsid w:val="00253DA2"/>
    <w:rsid w:val="0025600D"/>
    <w:rsid w:val="00257C27"/>
    <w:rsid w:val="00261B14"/>
    <w:rsid w:val="00263976"/>
    <w:rsid w:val="00265470"/>
    <w:rsid w:val="00267E67"/>
    <w:rsid w:val="0027016D"/>
    <w:rsid w:val="0027081F"/>
    <w:rsid w:val="002721C2"/>
    <w:rsid w:val="00284DFC"/>
    <w:rsid w:val="00285A38"/>
    <w:rsid w:val="00293DCE"/>
    <w:rsid w:val="002A26BD"/>
    <w:rsid w:val="002A2BD4"/>
    <w:rsid w:val="002A54EE"/>
    <w:rsid w:val="002A5BC0"/>
    <w:rsid w:val="002B1AC9"/>
    <w:rsid w:val="002B2A83"/>
    <w:rsid w:val="002B3FAC"/>
    <w:rsid w:val="002C1AEE"/>
    <w:rsid w:val="002C2AF7"/>
    <w:rsid w:val="002C4312"/>
    <w:rsid w:val="002C5115"/>
    <w:rsid w:val="002E08BC"/>
    <w:rsid w:val="002E0A15"/>
    <w:rsid w:val="002F243F"/>
    <w:rsid w:val="003020F9"/>
    <w:rsid w:val="003052BA"/>
    <w:rsid w:val="00307841"/>
    <w:rsid w:val="00307DF9"/>
    <w:rsid w:val="003119FD"/>
    <w:rsid w:val="003170B6"/>
    <w:rsid w:val="003217B2"/>
    <w:rsid w:val="00321962"/>
    <w:rsid w:val="003220C9"/>
    <w:rsid w:val="00322663"/>
    <w:rsid w:val="00322CF5"/>
    <w:rsid w:val="0032361D"/>
    <w:rsid w:val="00326853"/>
    <w:rsid w:val="00327443"/>
    <w:rsid w:val="00331870"/>
    <w:rsid w:val="00346671"/>
    <w:rsid w:val="003566B0"/>
    <w:rsid w:val="003732AE"/>
    <w:rsid w:val="00373C50"/>
    <w:rsid w:val="0038019C"/>
    <w:rsid w:val="00382146"/>
    <w:rsid w:val="00383E5C"/>
    <w:rsid w:val="003867FB"/>
    <w:rsid w:val="00393BB5"/>
    <w:rsid w:val="00395FF3"/>
    <w:rsid w:val="003960C9"/>
    <w:rsid w:val="003A120B"/>
    <w:rsid w:val="003A1DD7"/>
    <w:rsid w:val="003A2B52"/>
    <w:rsid w:val="003A5AD6"/>
    <w:rsid w:val="003A68D5"/>
    <w:rsid w:val="003C1FAC"/>
    <w:rsid w:val="003C39FD"/>
    <w:rsid w:val="003C6287"/>
    <w:rsid w:val="003C730E"/>
    <w:rsid w:val="003D2069"/>
    <w:rsid w:val="003D2DB6"/>
    <w:rsid w:val="003D4A4D"/>
    <w:rsid w:val="003D61BD"/>
    <w:rsid w:val="003D6E32"/>
    <w:rsid w:val="003E0EFE"/>
    <w:rsid w:val="003F0D47"/>
    <w:rsid w:val="003F0D9F"/>
    <w:rsid w:val="003F7459"/>
    <w:rsid w:val="00402393"/>
    <w:rsid w:val="00402876"/>
    <w:rsid w:val="00405CE3"/>
    <w:rsid w:val="00407EBD"/>
    <w:rsid w:val="0041038C"/>
    <w:rsid w:val="00411118"/>
    <w:rsid w:val="00412156"/>
    <w:rsid w:val="00422761"/>
    <w:rsid w:val="00424844"/>
    <w:rsid w:val="004249C5"/>
    <w:rsid w:val="00444ADE"/>
    <w:rsid w:val="00446BA4"/>
    <w:rsid w:val="00446FFF"/>
    <w:rsid w:val="0045041C"/>
    <w:rsid w:val="004526BF"/>
    <w:rsid w:val="00453323"/>
    <w:rsid w:val="00453342"/>
    <w:rsid w:val="00455339"/>
    <w:rsid w:val="00455F5C"/>
    <w:rsid w:val="00456EFE"/>
    <w:rsid w:val="00460C6D"/>
    <w:rsid w:val="00461117"/>
    <w:rsid w:val="00473DD9"/>
    <w:rsid w:val="00481FEB"/>
    <w:rsid w:val="00483513"/>
    <w:rsid w:val="00485ACA"/>
    <w:rsid w:val="00491352"/>
    <w:rsid w:val="00495A1D"/>
    <w:rsid w:val="004A0BC3"/>
    <w:rsid w:val="004A0C77"/>
    <w:rsid w:val="004A473E"/>
    <w:rsid w:val="004A5F20"/>
    <w:rsid w:val="004B0681"/>
    <w:rsid w:val="004B0B23"/>
    <w:rsid w:val="004B16A5"/>
    <w:rsid w:val="004B44BF"/>
    <w:rsid w:val="004C71AC"/>
    <w:rsid w:val="004C7FC5"/>
    <w:rsid w:val="004D49BD"/>
    <w:rsid w:val="004D6B5F"/>
    <w:rsid w:val="004E00EF"/>
    <w:rsid w:val="004E04F6"/>
    <w:rsid w:val="004E0EF7"/>
    <w:rsid w:val="004E7B7E"/>
    <w:rsid w:val="004F032F"/>
    <w:rsid w:val="004F4F14"/>
    <w:rsid w:val="004F75CF"/>
    <w:rsid w:val="004F7A65"/>
    <w:rsid w:val="00503E54"/>
    <w:rsid w:val="005042FA"/>
    <w:rsid w:val="00507E01"/>
    <w:rsid w:val="00510E51"/>
    <w:rsid w:val="00517BF0"/>
    <w:rsid w:val="0052568E"/>
    <w:rsid w:val="005416A7"/>
    <w:rsid w:val="005441DE"/>
    <w:rsid w:val="0055424D"/>
    <w:rsid w:val="0055449C"/>
    <w:rsid w:val="00563C76"/>
    <w:rsid w:val="005734AE"/>
    <w:rsid w:val="005743E3"/>
    <w:rsid w:val="00574F3E"/>
    <w:rsid w:val="00575274"/>
    <w:rsid w:val="005764EE"/>
    <w:rsid w:val="005870AD"/>
    <w:rsid w:val="005876FB"/>
    <w:rsid w:val="00587D58"/>
    <w:rsid w:val="00592000"/>
    <w:rsid w:val="00592A15"/>
    <w:rsid w:val="00595E55"/>
    <w:rsid w:val="005A4F7E"/>
    <w:rsid w:val="005B0568"/>
    <w:rsid w:val="005B4DAC"/>
    <w:rsid w:val="005B6BE0"/>
    <w:rsid w:val="005B7528"/>
    <w:rsid w:val="005E22B6"/>
    <w:rsid w:val="005E3177"/>
    <w:rsid w:val="005E6597"/>
    <w:rsid w:val="005F2508"/>
    <w:rsid w:val="005F377D"/>
    <w:rsid w:val="006008B0"/>
    <w:rsid w:val="00600F76"/>
    <w:rsid w:val="00611FC6"/>
    <w:rsid w:val="006167FB"/>
    <w:rsid w:val="00616BF5"/>
    <w:rsid w:val="006229BE"/>
    <w:rsid w:val="00625B0B"/>
    <w:rsid w:val="0063672A"/>
    <w:rsid w:val="0063734B"/>
    <w:rsid w:val="00640062"/>
    <w:rsid w:val="00651BBF"/>
    <w:rsid w:val="00652F04"/>
    <w:rsid w:val="006571E0"/>
    <w:rsid w:val="00662875"/>
    <w:rsid w:val="00665270"/>
    <w:rsid w:val="00667C41"/>
    <w:rsid w:val="006704A8"/>
    <w:rsid w:val="0067724E"/>
    <w:rsid w:val="006873F4"/>
    <w:rsid w:val="006A211B"/>
    <w:rsid w:val="006A2372"/>
    <w:rsid w:val="006A3BE0"/>
    <w:rsid w:val="006A4451"/>
    <w:rsid w:val="006A653C"/>
    <w:rsid w:val="006A6FA7"/>
    <w:rsid w:val="006B12F8"/>
    <w:rsid w:val="006B202E"/>
    <w:rsid w:val="006B4E94"/>
    <w:rsid w:val="006C45F5"/>
    <w:rsid w:val="006D2A16"/>
    <w:rsid w:val="006E730F"/>
    <w:rsid w:val="006F033C"/>
    <w:rsid w:val="00703C23"/>
    <w:rsid w:val="00704D79"/>
    <w:rsid w:val="00704D8F"/>
    <w:rsid w:val="0070515F"/>
    <w:rsid w:val="0070599F"/>
    <w:rsid w:val="0071215C"/>
    <w:rsid w:val="00714F05"/>
    <w:rsid w:val="00715FDB"/>
    <w:rsid w:val="00730198"/>
    <w:rsid w:val="00731CCC"/>
    <w:rsid w:val="00736BCA"/>
    <w:rsid w:val="0073783C"/>
    <w:rsid w:val="007434C6"/>
    <w:rsid w:val="007471EB"/>
    <w:rsid w:val="007527AA"/>
    <w:rsid w:val="007545C0"/>
    <w:rsid w:val="00754BF1"/>
    <w:rsid w:val="0075545D"/>
    <w:rsid w:val="00762468"/>
    <w:rsid w:val="00762E10"/>
    <w:rsid w:val="00763DBD"/>
    <w:rsid w:val="007677DA"/>
    <w:rsid w:val="007761E5"/>
    <w:rsid w:val="00777092"/>
    <w:rsid w:val="00781E6E"/>
    <w:rsid w:val="0078454E"/>
    <w:rsid w:val="00787169"/>
    <w:rsid w:val="00793066"/>
    <w:rsid w:val="00794374"/>
    <w:rsid w:val="00795727"/>
    <w:rsid w:val="00795DAB"/>
    <w:rsid w:val="007A2B7F"/>
    <w:rsid w:val="007B19C7"/>
    <w:rsid w:val="007B271E"/>
    <w:rsid w:val="007C12FB"/>
    <w:rsid w:val="007C684E"/>
    <w:rsid w:val="007C6ACB"/>
    <w:rsid w:val="007C771B"/>
    <w:rsid w:val="007D63B8"/>
    <w:rsid w:val="007E236F"/>
    <w:rsid w:val="007E4426"/>
    <w:rsid w:val="007E6DF4"/>
    <w:rsid w:val="007E785C"/>
    <w:rsid w:val="007F072D"/>
    <w:rsid w:val="007F4EC9"/>
    <w:rsid w:val="007F4F3A"/>
    <w:rsid w:val="00802BAB"/>
    <w:rsid w:val="00804D40"/>
    <w:rsid w:val="00805E07"/>
    <w:rsid w:val="0081393A"/>
    <w:rsid w:val="00823594"/>
    <w:rsid w:val="00823F13"/>
    <w:rsid w:val="00837F50"/>
    <w:rsid w:val="00851CEB"/>
    <w:rsid w:val="00857151"/>
    <w:rsid w:val="008639F7"/>
    <w:rsid w:val="00863C9E"/>
    <w:rsid w:val="008661AE"/>
    <w:rsid w:val="008700CE"/>
    <w:rsid w:val="00874D97"/>
    <w:rsid w:val="00876077"/>
    <w:rsid w:val="00882171"/>
    <w:rsid w:val="00884A3B"/>
    <w:rsid w:val="008921AA"/>
    <w:rsid w:val="00892CDE"/>
    <w:rsid w:val="008971E8"/>
    <w:rsid w:val="0089780C"/>
    <w:rsid w:val="008A6D63"/>
    <w:rsid w:val="008A7AAC"/>
    <w:rsid w:val="008B485D"/>
    <w:rsid w:val="008C144D"/>
    <w:rsid w:val="008C17B5"/>
    <w:rsid w:val="008C17DC"/>
    <w:rsid w:val="008C2471"/>
    <w:rsid w:val="008C3BA9"/>
    <w:rsid w:val="008C3C26"/>
    <w:rsid w:val="008C59AA"/>
    <w:rsid w:val="008C662F"/>
    <w:rsid w:val="008C6F81"/>
    <w:rsid w:val="008C7FD5"/>
    <w:rsid w:val="008D0AE2"/>
    <w:rsid w:val="008E4D5C"/>
    <w:rsid w:val="008E77CA"/>
    <w:rsid w:val="008F3729"/>
    <w:rsid w:val="008F4B57"/>
    <w:rsid w:val="008F65F1"/>
    <w:rsid w:val="009012E3"/>
    <w:rsid w:val="009037DD"/>
    <w:rsid w:val="0090516C"/>
    <w:rsid w:val="00910490"/>
    <w:rsid w:val="00922DAC"/>
    <w:rsid w:val="0092487C"/>
    <w:rsid w:val="009269F4"/>
    <w:rsid w:val="00930A93"/>
    <w:rsid w:val="009349F5"/>
    <w:rsid w:val="00934A93"/>
    <w:rsid w:val="009409CD"/>
    <w:rsid w:val="009410CA"/>
    <w:rsid w:val="00941609"/>
    <w:rsid w:val="00941BD0"/>
    <w:rsid w:val="00947AAF"/>
    <w:rsid w:val="00947CE0"/>
    <w:rsid w:val="00947D3B"/>
    <w:rsid w:val="009512D7"/>
    <w:rsid w:val="0095765D"/>
    <w:rsid w:val="009604DA"/>
    <w:rsid w:val="00960EFA"/>
    <w:rsid w:val="0096112D"/>
    <w:rsid w:val="00963BBD"/>
    <w:rsid w:val="009765C9"/>
    <w:rsid w:val="009823BB"/>
    <w:rsid w:val="00983EAF"/>
    <w:rsid w:val="0098499A"/>
    <w:rsid w:val="009857FC"/>
    <w:rsid w:val="00986858"/>
    <w:rsid w:val="00987B7B"/>
    <w:rsid w:val="00987B87"/>
    <w:rsid w:val="0099276A"/>
    <w:rsid w:val="00992EB4"/>
    <w:rsid w:val="00995DB5"/>
    <w:rsid w:val="00996FA8"/>
    <w:rsid w:val="009A2A7C"/>
    <w:rsid w:val="009A2CCC"/>
    <w:rsid w:val="009A4E9D"/>
    <w:rsid w:val="009A5227"/>
    <w:rsid w:val="009B12FA"/>
    <w:rsid w:val="009B1EDF"/>
    <w:rsid w:val="009B4C16"/>
    <w:rsid w:val="009B5B5B"/>
    <w:rsid w:val="009B5EDF"/>
    <w:rsid w:val="009C1D42"/>
    <w:rsid w:val="009D09E2"/>
    <w:rsid w:val="009D1AFE"/>
    <w:rsid w:val="009D2CCC"/>
    <w:rsid w:val="009D4466"/>
    <w:rsid w:val="009D62CA"/>
    <w:rsid w:val="009D692D"/>
    <w:rsid w:val="009E2BB8"/>
    <w:rsid w:val="009E42FE"/>
    <w:rsid w:val="009E6C93"/>
    <w:rsid w:val="009E7FE6"/>
    <w:rsid w:val="009F0A31"/>
    <w:rsid w:val="009F31DF"/>
    <w:rsid w:val="009F337E"/>
    <w:rsid w:val="009F7942"/>
    <w:rsid w:val="00A152E7"/>
    <w:rsid w:val="00A2364D"/>
    <w:rsid w:val="00A3071A"/>
    <w:rsid w:val="00A32164"/>
    <w:rsid w:val="00A3232F"/>
    <w:rsid w:val="00A43088"/>
    <w:rsid w:val="00A459BB"/>
    <w:rsid w:val="00A4769A"/>
    <w:rsid w:val="00A50A32"/>
    <w:rsid w:val="00A51E10"/>
    <w:rsid w:val="00A56AB2"/>
    <w:rsid w:val="00A56FFA"/>
    <w:rsid w:val="00A60F49"/>
    <w:rsid w:val="00A61305"/>
    <w:rsid w:val="00A620BA"/>
    <w:rsid w:val="00A6301D"/>
    <w:rsid w:val="00A6303B"/>
    <w:rsid w:val="00A64F7F"/>
    <w:rsid w:val="00A74862"/>
    <w:rsid w:val="00A814C3"/>
    <w:rsid w:val="00A92E29"/>
    <w:rsid w:val="00A97BCA"/>
    <w:rsid w:val="00AA77E4"/>
    <w:rsid w:val="00AB239B"/>
    <w:rsid w:val="00AB299D"/>
    <w:rsid w:val="00AB5D20"/>
    <w:rsid w:val="00AC1496"/>
    <w:rsid w:val="00AC6050"/>
    <w:rsid w:val="00AD6B6B"/>
    <w:rsid w:val="00AD78B8"/>
    <w:rsid w:val="00AE1A5C"/>
    <w:rsid w:val="00AE1FB3"/>
    <w:rsid w:val="00AE2F97"/>
    <w:rsid w:val="00AE4D9B"/>
    <w:rsid w:val="00AE5B0B"/>
    <w:rsid w:val="00AE7806"/>
    <w:rsid w:val="00AF20B6"/>
    <w:rsid w:val="00AF5573"/>
    <w:rsid w:val="00AF6519"/>
    <w:rsid w:val="00B06E4D"/>
    <w:rsid w:val="00B1113B"/>
    <w:rsid w:val="00B142E9"/>
    <w:rsid w:val="00B17813"/>
    <w:rsid w:val="00B210BB"/>
    <w:rsid w:val="00B21554"/>
    <w:rsid w:val="00B24DF3"/>
    <w:rsid w:val="00B25976"/>
    <w:rsid w:val="00B276CE"/>
    <w:rsid w:val="00B306E8"/>
    <w:rsid w:val="00B314FA"/>
    <w:rsid w:val="00B32093"/>
    <w:rsid w:val="00B37428"/>
    <w:rsid w:val="00B40EB5"/>
    <w:rsid w:val="00B43D6D"/>
    <w:rsid w:val="00B46D30"/>
    <w:rsid w:val="00B4712B"/>
    <w:rsid w:val="00B5371A"/>
    <w:rsid w:val="00B578A6"/>
    <w:rsid w:val="00B60D0F"/>
    <w:rsid w:val="00B61AB7"/>
    <w:rsid w:val="00B64142"/>
    <w:rsid w:val="00B66450"/>
    <w:rsid w:val="00B7163B"/>
    <w:rsid w:val="00B76C24"/>
    <w:rsid w:val="00B8129B"/>
    <w:rsid w:val="00B85AC8"/>
    <w:rsid w:val="00B90739"/>
    <w:rsid w:val="00B908E8"/>
    <w:rsid w:val="00BA5A3C"/>
    <w:rsid w:val="00BA7CE5"/>
    <w:rsid w:val="00BB1D72"/>
    <w:rsid w:val="00BC0F2F"/>
    <w:rsid w:val="00BD553E"/>
    <w:rsid w:val="00BD65C6"/>
    <w:rsid w:val="00BD6FE4"/>
    <w:rsid w:val="00BF0056"/>
    <w:rsid w:val="00BF1226"/>
    <w:rsid w:val="00BF3456"/>
    <w:rsid w:val="00BF3637"/>
    <w:rsid w:val="00BF5BD2"/>
    <w:rsid w:val="00BF7D91"/>
    <w:rsid w:val="00C00011"/>
    <w:rsid w:val="00C00555"/>
    <w:rsid w:val="00C0148F"/>
    <w:rsid w:val="00C03273"/>
    <w:rsid w:val="00C03C79"/>
    <w:rsid w:val="00C05D6D"/>
    <w:rsid w:val="00C2031C"/>
    <w:rsid w:val="00C2451F"/>
    <w:rsid w:val="00C248FC"/>
    <w:rsid w:val="00C253AE"/>
    <w:rsid w:val="00C266B2"/>
    <w:rsid w:val="00C27CC0"/>
    <w:rsid w:val="00C353C6"/>
    <w:rsid w:val="00C35CCD"/>
    <w:rsid w:val="00C3634B"/>
    <w:rsid w:val="00C43D30"/>
    <w:rsid w:val="00C4440E"/>
    <w:rsid w:val="00C477B1"/>
    <w:rsid w:val="00C50AD4"/>
    <w:rsid w:val="00C513B9"/>
    <w:rsid w:val="00C52BB6"/>
    <w:rsid w:val="00C62D56"/>
    <w:rsid w:val="00C631AD"/>
    <w:rsid w:val="00C64FE1"/>
    <w:rsid w:val="00C65B7A"/>
    <w:rsid w:val="00C66295"/>
    <w:rsid w:val="00C66C49"/>
    <w:rsid w:val="00C75184"/>
    <w:rsid w:val="00C765AB"/>
    <w:rsid w:val="00C810F1"/>
    <w:rsid w:val="00C865F7"/>
    <w:rsid w:val="00C94683"/>
    <w:rsid w:val="00C977FB"/>
    <w:rsid w:val="00CA0CD4"/>
    <w:rsid w:val="00CB6562"/>
    <w:rsid w:val="00CC034C"/>
    <w:rsid w:val="00CC6A14"/>
    <w:rsid w:val="00CD1EB9"/>
    <w:rsid w:val="00CD34C9"/>
    <w:rsid w:val="00CD3D3E"/>
    <w:rsid w:val="00CD5702"/>
    <w:rsid w:val="00CE2287"/>
    <w:rsid w:val="00CE24D3"/>
    <w:rsid w:val="00CE4559"/>
    <w:rsid w:val="00CE5529"/>
    <w:rsid w:val="00CF059D"/>
    <w:rsid w:val="00CF15D9"/>
    <w:rsid w:val="00CF2D04"/>
    <w:rsid w:val="00CF6466"/>
    <w:rsid w:val="00CF68B1"/>
    <w:rsid w:val="00D020A5"/>
    <w:rsid w:val="00D06060"/>
    <w:rsid w:val="00D106C2"/>
    <w:rsid w:val="00D13E8F"/>
    <w:rsid w:val="00D14D30"/>
    <w:rsid w:val="00D178A1"/>
    <w:rsid w:val="00D2264B"/>
    <w:rsid w:val="00D22F4D"/>
    <w:rsid w:val="00D24822"/>
    <w:rsid w:val="00D31565"/>
    <w:rsid w:val="00D365A1"/>
    <w:rsid w:val="00D42645"/>
    <w:rsid w:val="00D45EC2"/>
    <w:rsid w:val="00D51B93"/>
    <w:rsid w:val="00D52497"/>
    <w:rsid w:val="00D52EF4"/>
    <w:rsid w:val="00D60738"/>
    <w:rsid w:val="00D636D3"/>
    <w:rsid w:val="00D64988"/>
    <w:rsid w:val="00D65BE3"/>
    <w:rsid w:val="00D66127"/>
    <w:rsid w:val="00D67677"/>
    <w:rsid w:val="00D864D6"/>
    <w:rsid w:val="00D92125"/>
    <w:rsid w:val="00D92584"/>
    <w:rsid w:val="00D96504"/>
    <w:rsid w:val="00D97F34"/>
    <w:rsid w:val="00DA03FC"/>
    <w:rsid w:val="00DA2A1A"/>
    <w:rsid w:val="00DA57F0"/>
    <w:rsid w:val="00DA7B77"/>
    <w:rsid w:val="00DB08B6"/>
    <w:rsid w:val="00DB22DE"/>
    <w:rsid w:val="00DC2823"/>
    <w:rsid w:val="00DC52C1"/>
    <w:rsid w:val="00DC5CE0"/>
    <w:rsid w:val="00DD3173"/>
    <w:rsid w:val="00DD5869"/>
    <w:rsid w:val="00DE1BBA"/>
    <w:rsid w:val="00DE1EDC"/>
    <w:rsid w:val="00DF27F0"/>
    <w:rsid w:val="00DF4639"/>
    <w:rsid w:val="00E06F65"/>
    <w:rsid w:val="00E1271C"/>
    <w:rsid w:val="00E12D16"/>
    <w:rsid w:val="00E144FB"/>
    <w:rsid w:val="00E24605"/>
    <w:rsid w:val="00E259E4"/>
    <w:rsid w:val="00E2672F"/>
    <w:rsid w:val="00E3296A"/>
    <w:rsid w:val="00E36F1D"/>
    <w:rsid w:val="00E4234F"/>
    <w:rsid w:val="00E438CD"/>
    <w:rsid w:val="00E4417D"/>
    <w:rsid w:val="00E50415"/>
    <w:rsid w:val="00E5275C"/>
    <w:rsid w:val="00E6356A"/>
    <w:rsid w:val="00E643EA"/>
    <w:rsid w:val="00E65021"/>
    <w:rsid w:val="00E74E17"/>
    <w:rsid w:val="00E76F91"/>
    <w:rsid w:val="00E77F54"/>
    <w:rsid w:val="00E82D8A"/>
    <w:rsid w:val="00E84FBC"/>
    <w:rsid w:val="00E855A2"/>
    <w:rsid w:val="00E85E59"/>
    <w:rsid w:val="00E9343D"/>
    <w:rsid w:val="00E93F0A"/>
    <w:rsid w:val="00EA255C"/>
    <w:rsid w:val="00EA2767"/>
    <w:rsid w:val="00EA4957"/>
    <w:rsid w:val="00EA6EB8"/>
    <w:rsid w:val="00EB045B"/>
    <w:rsid w:val="00EB238C"/>
    <w:rsid w:val="00EB290F"/>
    <w:rsid w:val="00EB63ED"/>
    <w:rsid w:val="00EC147D"/>
    <w:rsid w:val="00EC3EE7"/>
    <w:rsid w:val="00EC56AE"/>
    <w:rsid w:val="00EC596B"/>
    <w:rsid w:val="00EC5C0F"/>
    <w:rsid w:val="00ED1A9C"/>
    <w:rsid w:val="00ED50ED"/>
    <w:rsid w:val="00ED5AE6"/>
    <w:rsid w:val="00ED7020"/>
    <w:rsid w:val="00EE02CC"/>
    <w:rsid w:val="00EF3293"/>
    <w:rsid w:val="00EF7E96"/>
    <w:rsid w:val="00F00C28"/>
    <w:rsid w:val="00F02C31"/>
    <w:rsid w:val="00F062F8"/>
    <w:rsid w:val="00F06407"/>
    <w:rsid w:val="00F06F0F"/>
    <w:rsid w:val="00F1192D"/>
    <w:rsid w:val="00F12A6F"/>
    <w:rsid w:val="00F14318"/>
    <w:rsid w:val="00F17281"/>
    <w:rsid w:val="00F211B4"/>
    <w:rsid w:val="00F22A80"/>
    <w:rsid w:val="00F25B84"/>
    <w:rsid w:val="00F3051E"/>
    <w:rsid w:val="00F30F27"/>
    <w:rsid w:val="00F32CD9"/>
    <w:rsid w:val="00F35847"/>
    <w:rsid w:val="00F3698C"/>
    <w:rsid w:val="00F373A0"/>
    <w:rsid w:val="00F45B93"/>
    <w:rsid w:val="00F55B99"/>
    <w:rsid w:val="00F647AB"/>
    <w:rsid w:val="00F661D7"/>
    <w:rsid w:val="00F70178"/>
    <w:rsid w:val="00F70AE2"/>
    <w:rsid w:val="00F710BD"/>
    <w:rsid w:val="00F72138"/>
    <w:rsid w:val="00F7298C"/>
    <w:rsid w:val="00F72C4D"/>
    <w:rsid w:val="00F76EFB"/>
    <w:rsid w:val="00F806F3"/>
    <w:rsid w:val="00F80AE4"/>
    <w:rsid w:val="00F80E25"/>
    <w:rsid w:val="00F80F13"/>
    <w:rsid w:val="00F8356E"/>
    <w:rsid w:val="00F83BBE"/>
    <w:rsid w:val="00F85FC2"/>
    <w:rsid w:val="00F87C5B"/>
    <w:rsid w:val="00F91A08"/>
    <w:rsid w:val="00F96B80"/>
    <w:rsid w:val="00FA008D"/>
    <w:rsid w:val="00FA02E6"/>
    <w:rsid w:val="00FA24A9"/>
    <w:rsid w:val="00FA59BD"/>
    <w:rsid w:val="00FA719C"/>
    <w:rsid w:val="00FB106C"/>
    <w:rsid w:val="00FB1233"/>
    <w:rsid w:val="00FB6235"/>
    <w:rsid w:val="00FB6EC1"/>
    <w:rsid w:val="00FB7A77"/>
    <w:rsid w:val="00FC0017"/>
    <w:rsid w:val="00FC5715"/>
    <w:rsid w:val="00FC5FDF"/>
    <w:rsid w:val="00FD65FF"/>
    <w:rsid w:val="00FD782C"/>
    <w:rsid w:val="00FE7FDF"/>
    <w:rsid w:val="00FF08AB"/>
    <w:rsid w:val="00FF0ABE"/>
    <w:rsid w:val="00FF0FF7"/>
    <w:rsid w:val="00FF2B03"/>
    <w:rsid w:val="00FF3171"/>
    <w:rsid w:val="00FF4035"/>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9FC9"/>
  <w15:chartTrackingRefBased/>
  <w15:docId w15:val="{5BB92572-4AB7-4B9D-9D32-BAE06361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64F7F"/>
    <w:pPr>
      <w:widowControl w:val="0"/>
      <w:autoSpaceDE w:val="0"/>
      <w:autoSpaceDN w:val="0"/>
      <w:spacing w:after="0" w:line="240" w:lineRule="auto"/>
      <w:ind w:left="137"/>
      <w:outlineLvl w:val="1"/>
    </w:pPr>
    <w:rPr>
      <w:rFonts w:ascii="Arial" w:eastAsia="Arial" w:hAnsi="Arial" w:cs="Arial"/>
      <w:b/>
      <w:bCs/>
      <w:sz w:val="18"/>
      <w:szCs w:val="18"/>
    </w:rPr>
  </w:style>
  <w:style w:type="paragraph" w:styleId="Heading3">
    <w:name w:val="heading 3"/>
    <w:basedOn w:val="Normal"/>
    <w:next w:val="Normal"/>
    <w:link w:val="Heading3Char"/>
    <w:uiPriority w:val="9"/>
    <w:unhideWhenUsed/>
    <w:qFormat/>
    <w:rsid w:val="00A64F7F"/>
    <w:pPr>
      <w:keepNext/>
      <w:spacing w:before="240" w:after="60" w:line="276" w:lineRule="auto"/>
      <w:outlineLvl w:val="2"/>
    </w:pPr>
    <w:rPr>
      <w:rFonts w:ascii="Cambria" w:eastAsia="Times New Roman" w:hAnsi="Cambria" w:cs="Times New Roman"/>
      <w:b/>
      <w:bCs/>
      <w:sz w:val="26"/>
      <w:szCs w:val="26"/>
      <w:lang w:eastAsia="x-none"/>
    </w:rPr>
  </w:style>
  <w:style w:type="paragraph" w:styleId="Heading4">
    <w:name w:val="heading 4"/>
    <w:basedOn w:val="Normal"/>
    <w:next w:val="Normal"/>
    <w:link w:val="Heading4Char"/>
    <w:uiPriority w:val="9"/>
    <w:unhideWhenUsed/>
    <w:qFormat/>
    <w:rsid w:val="00F72138"/>
    <w:pPr>
      <w:keepNext/>
      <w:spacing w:before="120" w:after="120" w:line="360" w:lineRule="auto"/>
      <w:ind w:left="580" w:hanging="864"/>
      <w:jc w:val="both"/>
      <w:outlineLvl w:val="3"/>
    </w:pPr>
    <w:rPr>
      <w:rFonts w:ascii="Calibri" w:eastAsia="Times New Roman" w:hAnsi="Calibri" w:cs="Times New Roman"/>
      <w:b/>
      <w:bCs/>
      <w:sz w:val="24"/>
      <w:szCs w:val="28"/>
    </w:rPr>
  </w:style>
  <w:style w:type="paragraph" w:styleId="Heading5">
    <w:name w:val="heading 5"/>
    <w:basedOn w:val="Normal"/>
    <w:next w:val="Normal"/>
    <w:link w:val="Heading5Char"/>
    <w:uiPriority w:val="9"/>
    <w:unhideWhenUsed/>
    <w:qFormat/>
    <w:rsid w:val="00F72138"/>
    <w:pPr>
      <w:spacing w:before="240" w:after="60" w:line="360" w:lineRule="auto"/>
      <w:ind w:left="724" w:hanging="1008"/>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F72138"/>
    <w:pPr>
      <w:spacing w:before="240" w:after="60" w:line="360" w:lineRule="auto"/>
      <w:ind w:left="868" w:hanging="1152"/>
      <w:jc w:val="both"/>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F72138"/>
    <w:pPr>
      <w:spacing w:before="240" w:after="60" w:line="360" w:lineRule="auto"/>
      <w:ind w:left="1012" w:hanging="1296"/>
      <w:jc w:val="both"/>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72138"/>
    <w:pPr>
      <w:spacing w:before="240" w:after="60" w:line="360" w:lineRule="auto"/>
      <w:ind w:left="1156" w:hanging="144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72138"/>
    <w:pPr>
      <w:spacing w:before="240" w:after="60" w:line="360" w:lineRule="auto"/>
      <w:ind w:left="1300" w:hanging="1584"/>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F7F"/>
    <w:rPr>
      <w:rFonts w:ascii="Arial" w:eastAsia="Arial" w:hAnsi="Arial" w:cs="Arial"/>
      <w:b/>
      <w:bCs/>
      <w:sz w:val="18"/>
      <w:szCs w:val="18"/>
      <w:lang w:val="fr-FR"/>
    </w:rPr>
  </w:style>
  <w:style w:type="character" w:customStyle="1" w:styleId="Heading3Char">
    <w:name w:val="Heading 3 Char"/>
    <w:basedOn w:val="DefaultParagraphFont"/>
    <w:link w:val="Heading3"/>
    <w:uiPriority w:val="9"/>
    <w:rsid w:val="00A64F7F"/>
    <w:rPr>
      <w:rFonts w:ascii="Cambria" w:eastAsia="Times New Roman" w:hAnsi="Cambria" w:cs="Times New Roman"/>
      <w:b/>
      <w:bCs/>
      <w:sz w:val="26"/>
      <w:szCs w:val="26"/>
      <w:lang w:val="fr-FR" w:eastAsia="x-none"/>
    </w:rPr>
  </w:style>
  <w:style w:type="paragraph" w:styleId="ListParagraph">
    <w:name w:val="List Paragraph"/>
    <w:basedOn w:val="Normal"/>
    <w:link w:val="ListParagraphChar"/>
    <w:uiPriority w:val="34"/>
    <w:qFormat/>
    <w:rsid w:val="00A64F7F"/>
    <w:pPr>
      <w:spacing w:after="0" w:line="240" w:lineRule="auto"/>
      <w:ind w:left="720" w:firstLine="360"/>
      <w:contextualSpacing/>
    </w:pPr>
    <w:rPr>
      <w:rFonts w:ascii="Calibri" w:eastAsia="Times New Roman" w:hAnsi="Calibri" w:cs="Times New Roman"/>
      <w:lang w:bidi="en-US"/>
    </w:rPr>
  </w:style>
  <w:style w:type="character" w:customStyle="1" w:styleId="ListParagraphChar">
    <w:name w:val="List Paragraph Char"/>
    <w:link w:val="ListParagraph"/>
    <w:uiPriority w:val="34"/>
    <w:locked/>
    <w:rsid w:val="00A64F7F"/>
    <w:rPr>
      <w:rFonts w:ascii="Calibri" w:eastAsia="Times New Roman" w:hAnsi="Calibri" w:cs="Times New Roman"/>
      <w:lang w:val="fr-FR" w:bidi="en-US"/>
    </w:rPr>
  </w:style>
  <w:style w:type="paragraph" w:styleId="Header">
    <w:name w:val="header"/>
    <w:basedOn w:val="Normal"/>
    <w:link w:val="HeaderChar"/>
    <w:uiPriority w:val="99"/>
    <w:unhideWhenUsed/>
    <w:rsid w:val="00A64F7F"/>
    <w:pPr>
      <w:tabs>
        <w:tab w:val="center" w:pos="4513"/>
        <w:tab w:val="right" w:pos="9026"/>
      </w:tabs>
      <w:spacing w:after="0" w:line="240" w:lineRule="auto"/>
      <w:ind w:firstLine="360"/>
    </w:pPr>
    <w:rPr>
      <w:rFonts w:ascii="Calibri" w:eastAsia="Times New Roman" w:hAnsi="Calibri" w:cs="Times New Roman"/>
      <w:lang w:bidi="en-US"/>
    </w:rPr>
  </w:style>
  <w:style w:type="character" w:customStyle="1" w:styleId="HeaderChar">
    <w:name w:val="Header Char"/>
    <w:basedOn w:val="DefaultParagraphFont"/>
    <w:link w:val="Header"/>
    <w:uiPriority w:val="99"/>
    <w:rsid w:val="00A64F7F"/>
    <w:rPr>
      <w:rFonts w:ascii="Calibri" w:eastAsia="Times New Roman" w:hAnsi="Calibri" w:cs="Times New Roman"/>
      <w:lang w:val="fr-FR" w:bidi="en-US"/>
    </w:rPr>
  </w:style>
  <w:style w:type="paragraph" w:styleId="Footer">
    <w:name w:val="footer"/>
    <w:basedOn w:val="Normal"/>
    <w:link w:val="FooterChar"/>
    <w:uiPriority w:val="99"/>
    <w:unhideWhenUsed/>
    <w:rsid w:val="00A64F7F"/>
    <w:pPr>
      <w:tabs>
        <w:tab w:val="center" w:pos="4513"/>
        <w:tab w:val="right" w:pos="9026"/>
      </w:tabs>
      <w:spacing w:after="0" w:line="240" w:lineRule="auto"/>
      <w:ind w:firstLine="360"/>
    </w:pPr>
    <w:rPr>
      <w:rFonts w:ascii="Calibri" w:eastAsia="Times New Roman" w:hAnsi="Calibri" w:cs="Times New Roman"/>
      <w:lang w:bidi="en-US"/>
    </w:rPr>
  </w:style>
  <w:style w:type="character" w:customStyle="1" w:styleId="FooterChar">
    <w:name w:val="Footer Char"/>
    <w:basedOn w:val="DefaultParagraphFont"/>
    <w:link w:val="Footer"/>
    <w:uiPriority w:val="99"/>
    <w:rsid w:val="00A64F7F"/>
    <w:rPr>
      <w:rFonts w:ascii="Calibri" w:eastAsia="Times New Roman" w:hAnsi="Calibri" w:cs="Times New Roman"/>
      <w:lang w:val="fr-FR" w:bidi="en-US"/>
    </w:rPr>
  </w:style>
  <w:style w:type="paragraph" w:styleId="NormalWeb">
    <w:name w:val="Normal (Web)"/>
    <w:basedOn w:val="Normal"/>
    <w:uiPriority w:val="99"/>
    <w:unhideWhenUsed/>
    <w:rsid w:val="00A64F7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link w:val="NoSpacingChar"/>
    <w:uiPriority w:val="1"/>
    <w:qFormat/>
    <w:rsid w:val="00A64F7F"/>
    <w:pPr>
      <w:spacing w:after="0" w:line="240" w:lineRule="auto"/>
      <w:ind w:firstLine="360"/>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A64F7F"/>
    <w:pPr>
      <w:spacing w:after="0" w:line="240" w:lineRule="auto"/>
      <w:ind w:firstLine="360"/>
    </w:pPr>
    <w:rPr>
      <w:rFonts w:ascii="Segoe UI" w:eastAsia="Times New Roman" w:hAnsi="Segoe UI" w:cs="Segoe UI"/>
      <w:sz w:val="18"/>
      <w:szCs w:val="18"/>
      <w:lang w:bidi="en-US"/>
    </w:rPr>
  </w:style>
  <w:style w:type="character" w:customStyle="1" w:styleId="BalloonTextChar">
    <w:name w:val="Balloon Text Char"/>
    <w:basedOn w:val="DefaultParagraphFont"/>
    <w:link w:val="BalloonText"/>
    <w:uiPriority w:val="99"/>
    <w:semiHidden/>
    <w:rsid w:val="00A64F7F"/>
    <w:rPr>
      <w:rFonts w:ascii="Segoe UI" w:eastAsia="Times New Roman" w:hAnsi="Segoe UI" w:cs="Segoe UI"/>
      <w:sz w:val="18"/>
      <w:szCs w:val="18"/>
      <w:lang w:val="fr-FR" w:bidi="en-US"/>
    </w:rPr>
  </w:style>
  <w:style w:type="table" w:customStyle="1" w:styleId="TableGrid1">
    <w:name w:val="Table Grid1"/>
    <w:basedOn w:val="TableNormal"/>
    <w:next w:val="TableGrid"/>
    <w:uiPriority w:val="59"/>
    <w:rsid w:val="00A6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64F7F"/>
    <w:rPr>
      <w:rFonts w:ascii="BookmanOldStyle-Bold" w:hAnsi="BookmanOldStyle-Bold" w:hint="default"/>
      <w:b/>
      <w:bCs/>
      <w:i w:val="0"/>
      <w:iCs w:val="0"/>
      <w:color w:val="000000"/>
      <w:sz w:val="28"/>
      <w:szCs w:val="28"/>
    </w:rPr>
  </w:style>
  <w:style w:type="character" w:customStyle="1" w:styleId="fontstyle21">
    <w:name w:val="fontstyle21"/>
    <w:basedOn w:val="DefaultParagraphFont"/>
    <w:rsid w:val="00A64F7F"/>
    <w:rPr>
      <w:rFonts w:ascii="BookmanOldStyle" w:hAnsi="BookmanOldStyle" w:hint="default"/>
      <w:b w:val="0"/>
      <w:bCs w:val="0"/>
      <w:i w:val="0"/>
      <w:iCs w:val="0"/>
      <w:color w:val="000000"/>
      <w:sz w:val="24"/>
      <w:szCs w:val="24"/>
    </w:rPr>
  </w:style>
  <w:style w:type="paragraph" w:styleId="BodyText">
    <w:name w:val="Body Text"/>
    <w:basedOn w:val="Normal"/>
    <w:link w:val="BodyTextChar"/>
    <w:uiPriority w:val="1"/>
    <w:qFormat/>
    <w:rsid w:val="00A64F7F"/>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A64F7F"/>
    <w:rPr>
      <w:rFonts w:ascii="Arial" w:eastAsia="Arial" w:hAnsi="Arial" w:cs="Arial"/>
      <w:sz w:val="18"/>
      <w:szCs w:val="18"/>
      <w:lang w:val="fr-FR"/>
    </w:rPr>
  </w:style>
  <w:style w:type="paragraph" w:customStyle="1" w:styleId="TableParagraph">
    <w:name w:val="Table Paragraph"/>
    <w:basedOn w:val="Normal"/>
    <w:uiPriority w:val="1"/>
    <w:qFormat/>
    <w:rsid w:val="00A64F7F"/>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A64F7F"/>
    <w:rPr>
      <w:sz w:val="16"/>
      <w:szCs w:val="16"/>
    </w:rPr>
  </w:style>
  <w:style w:type="paragraph" w:styleId="CommentText">
    <w:name w:val="annotation text"/>
    <w:basedOn w:val="Normal"/>
    <w:link w:val="CommentTextChar"/>
    <w:uiPriority w:val="99"/>
    <w:unhideWhenUsed/>
    <w:rsid w:val="00A64F7F"/>
    <w:pPr>
      <w:spacing w:after="0" w:line="240" w:lineRule="auto"/>
      <w:ind w:firstLine="360"/>
    </w:pPr>
    <w:rPr>
      <w:rFonts w:ascii="Calibri" w:eastAsia="Times New Roman" w:hAnsi="Calibri" w:cs="Times New Roman"/>
      <w:sz w:val="20"/>
      <w:szCs w:val="20"/>
      <w:lang w:bidi="en-US"/>
    </w:rPr>
  </w:style>
  <w:style w:type="character" w:customStyle="1" w:styleId="CommentTextChar">
    <w:name w:val="Comment Text Char"/>
    <w:basedOn w:val="DefaultParagraphFont"/>
    <w:link w:val="CommentText"/>
    <w:uiPriority w:val="99"/>
    <w:rsid w:val="00A64F7F"/>
    <w:rPr>
      <w:rFonts w:ascii="Calibri" w:eastAsia="Times New Roman" w:hAnsi="Calibri" w:cs="Times New Roman"/>
      <w:sz w:val="20"/>
      <w:szCs w:val="20"/>
      <w:lang w:val="fr-FR" w:bidi="en-US"/>
    </w:rPr>
  </w:style>
  <w:style w:type="paragraph" w:styleId="CommentSubject">
    <w:name w:val="annotation subject"/>
    <w:basedOn w:val="CommentText"/>
    <w:next w:val="CommentText"/>
    <w:link w:val="CommentSubjectChar"/>
    <w:uiPriority w:val="99"/>
    <w:semiHidden/>
    <w:unhideWhenUsed/>
    <w:rsid w:val="00A64F7F"/>
    <w:rPr>
      <w:b/>
      <w:bCs/>
    </w:rPr>
  </w:style>
  <w:style w:type="character" w:customStyle="1" w:styleId="CommentSubjectChar">
    <w:name w:val="Comment Subject Char"/>
    <w:basedOn w:val="CommentTextChar"/>
    <w:link w:val="CommentSubject"/>
    <w:uiPriority w:val="99"/>
    <w:semiHidden/>
    <w:rsid w:val="00A64F7F"/>
    <w:rPr>
      <w:rFonts w:ascii="Calibri" w:eastAsia="Times New Roman" w:hAnsi="Calibri" w:cs="Times New Roman"/>
      <w:b/>
      <w:bCs/>
      <w:sz w:val="20"/>
      <w:szCs w:val="20"/>
      <w:lang w:val="fr-FR" w:bidi="en-US"/>
    </w:rPr>
  </w:style>
  <w:style w:type="paragraph" w:customStyle="1" w:styleId="xmsonormal">
    <w:name w:val="x_msonormal"/>
    <w:basedOn w:val="Normal"/>
    <w:rsid w:val="00A64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A64F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6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23436D"/>
    <w:rPr>
      <w:rFonts w:ascii="Calibri" w:eastAsia="Times New Roman" w:hAnsi="Calibri" w:cs="Times New Roman"/>
      <w:lang w:val="fr-FR" w:bidi="en-US"/>
    </w:rPr>
  </w:style>
  <w:style w:type="table" w:styleId="GridTable1Light">
    <w:name w:val="Grid Table 1 Light"/>
    <w:basedOn w:val="TableNormal"/>
    <w:uiPriority w:val="46"/>
    <w:rsid w:val="002343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7213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F72138"/>
    <w:rPr>
      <w:rFonts w:ascii="Calibri" w:eastAsia="Times New Roman" w:hAnsi="Calibri" w:cs="Times New Roman"/>
      <w:b/>
      <w:bCs/>
      <w:sz w:val="24"/>
      <w:szCs w:val="28"/>
      <w:lang w:val="fr-FR"/>
    </w:rPr>
  </w:style>
  <w:style w:type="character" w:customStyle="1" w:styleId="Heading5Char">
    <w:name w:val="Heading 5 Char"/>
    <w:basedOn w:val="DefaultParagraphFont"/>
    <w:link w:val="Heading5"/>
    <w:uiPriority w:val="9"/>
    <w:rsid w:val="00F72138"/>
    <w:rPr>
      <w:rFonts w:ascii="Calibri" w:eastAsia="Times New Roman" w:hAnsi="Calibri" w:cs="Times New Roman"/>
      <w:b/>
      <w:bCs/>
      <w:i/>
      <w:iCs/>
      <w:sz w:val="26"/>
      <w:szCs w:val="26"/>
      <w:lang w:val="fr-FR"/>
    </w:rPr>
  </w:style>
  <w:style w:type="character" w:customStyle="1" w:styleId="Heading6Char">
    <w:name w:val="Heading 6 Char"/>
    <w:basedOn w:val="DefaultParagraphFont"/>
    <w:link w:val="Heading6"/>
    <w:uiPriority w:val="9"/>
    <w:semiHidden/>
    <w:rsid w:val="00F72138"/>
    <w:rPr>
      <w:rFonts w:ascii="Calibri" w:eastAsia="Times New Roman" w:hAnsi="Calibri" w:cs="Times New Roman"/>
      <w:b/>
      <w:bCs/>
      <w:lang w:val="fr-FR"/>
    </w:rPr>
  </w:style>
  <w:style w:type="character" w:customStyle="1" w:styleId="Heading7Char">
    <w:name w:val="Heading 7 Char"/>
    <w:basedOn w:val="DefaultParagraphFont"/>
    <w:link w:val="Heading7"/>
    <w:uiPriority w:val="9"/>
    <w:semiHidden/>
    <w:rsid w:val="00F72138"/>
    <w:rPr>
      <w:rFonts w:ascii="Calibri" w:eastAsia="Times New Roman" w:hAnsi="Calibri" w:cs="Times New Roman"/>
      <w:sz w:val="24"/>
      <w:szCs w:val="24"/>
      <w:lang w:val="fr-FR"/>
    </w:rPr>
  </w:style>
  <w:style w:type="character" w:customStyle="1" w:styleId="Heading8Char">
    <w:name w:val="Heading 8 Char"/>
    <w:basedOn w:val="DefaultParagraphFont"/>
    <w:link w:val="Heading8"/>
    <w:uiPriority w:val="9"/>
    <w:semiHidden/>
    <w:rsid w:val="00F72138"/>
    <w:rPr>
      <w:rFonts w:ascii="Calibri" w:eastAsia="Times New Roman" w:hAnsi="Calibri" w:cs="Times New Roman"/>
      <w:i/>
      <w:iCs/>
      <w:sz w:val="24"/>
      <w:szCs w:val="24"/>
      <w:lang w:val="fr-FR"/>
    </w:rPr>
  </w:style>
  <w:style w:type="character" w:customStyle="1" w:styleId="Heading9Char">
    <w:name w:val="Heading 9 Char"/>
    <w:basedOn w:val="DefaultParagraphFont"/>
    <w:link w:val="Heading9"/>
    <w:uiPriority w:val="9"/>
    <w:semiHidden/>
    <w:rsid w:val="00F72138"/>
    <w:rPr>
      <w:rFonts w:ascii="Cambria" w:eastAsia="Times New Roman" w:hAnsi="Cambria"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9042">
      <w:bodyDiv w:val="1"/>
      <w:marLeft w:val="0"/>
      <w:marRight w:val="0"/>
      <w:marTop w:val="0"/>
      <w:marBottom w:val="0"/>
      <w:divBdr>
        <w:top w:val="none" w:sz="0" w:space="0" w:color="auto"/>
        <w:left w:val="none" w:sz="0" w:space="0" w:color="auto"/>
        <w:bottom w:val="none" w:sz="0" w:space="0" w:color="auto"/>
        <w:right w:val="none" w:sz="0" w:space="0" w:color="auto"/>
      </w:divBdr>
    </w:div>
    <w:div w:id="289676202">
      <w:bodyDiv w:val="1"/>
      <w:marLeft w:val="0"/>
      <w:marRight w:val="0"/>
      <w:marTop w:val="0"/>
      <w:marBottom w:val="0"/>
      <w:divBdr>
        <w:top w:val="none" w:sz="0" w:space="0" w:color="auto"/>
        <w:left w:val="none" w:sz="0" w:space="0" w:color="auto"/>
        <w:bottom w:val="none" w:sz="0" w:space="0" w:color="auto"/>
        <w:right w:val="none" w:sz="0" w:space="0" w:color="auto"/>
      </w:divBdr>
    </w:div>
    <w:div w:id="299962406">
      <w:bodyDiv w:val="1"/>
      <w:marLeft w:val="0"/>
      <w:marRight w:val="0"/>
      <w:marTop w:val="0"/>
      <w:marBottom w:val="0"/>
      <w:divBdr>
        <w:top w:val="none" w:sz="0" w:space="0" w:color="auto"/>
        <w:left w:val="none" w:sz="0" w:space="0" w:color="auto"/>
        <w:bottom w:val="none" w:sz="0" w:space="0" w:color="auto"/>
        <w:right w:val="none" w:sz="0" w:space="0" w:color="auto"/>
      </w:divBdr>
    </w:div>
    <w:div w:id="303849658">
      <w:bodyDiv w:val="1"/>
      <w:marLeft w:val="0"/>
      <w:marRight w:val="0"/>
      <w:marTop w:val="0"/>
      <w:marBottom w:val="0"/>
      <w:divBdr>
        <w:top w:val="none" w:sz="0" w:space="0" w:color="auto"/>
        <w:left w:val="none" w:sz="0" w:space="0" w:color="auto"/>
        <w:bottom w:val="none" w:sz="0" w:space="0" w:color="auto"/>
        <w:right w:val="none" w:sz="0" w:space="0" w:color="auto"/>
      </w:divBdr>
    </w:div>
    <w:div w:id="314649266">
      <w:bodyDiv w:val="1"/>
      <w:marLeft w:val="0"/>
      <w:marRight w:val="0"/>
      <w:marTop w:val="0"/>
      <w:marBottom w:val="0"/>
      <w:divBdr>
        <w:top w:val="none" w:sz="0" w:space="0" w:color="auto"/>
        <w:left w:val="none" w:sz="0" w:space="0" w:color="auto"/>
        <w:bottom w:val="none" w:sz="0" w:space="0" w:color="auto"/>
        <w:right w:val="none" w:sz="0" w:space="0" w:color="auto"/>
      </w:divBdr>
    </w:div>
    <w:div w:id="327632001">
      <w:bodyDiv w:val="1"/>
      <w:marLeft w:val="0"/>
      <w:marRight w:val="0"/>
      <w:marTop w:val="0"/>
      <w:marBottom w:val="0"/>
      <w:divBdr>
        <w:top w:val="none" w:sz="0" w:space="0" w:color="auto"/>
        <w:left w:val="none" w:sz="0" w:space="0" w:color="auto"/>
        <w:bottom w:val="none" w:sz="0" w:space="0" w:color="auto"/>
        <w:right w:val="none" w:sz="0" w:space="0" w:color="auto"/>
      </w:divBdr>
    </w:div>
    <w:div w:id="396174812">
      <w:bodyDiv w:val="1"/>
      <w:marLeft w:val="0"/>
      <w:marRight w:val="0"/>
      <w:marTop w:val="0"/>
      <w:marBottom w:val="0"/>
      <w:divBdr>
        <w:top w:val="none" w:sz="0" w:space="0" w:color="auto"/>
        <w:left w:val="none" w:sz="0" w:space="0" w:color="auto"/>
        <w:bottom w:val="none" w:sz="0" w:space="0" w:color="auto"/>
        <w:right w:val="none" w:sz="0" w:space="0" w:color="auto"/>
      </w:divBdr>
    </w:div>
    <w:div w:id="521551247">
      <w:bodyDiv w:val="1"/>
      <w:marLeft w:val="0"/>
      <w:marRight w:val="0"/>
      <w:marTop w:val="0"/>
      <w:marBottom w:val="0"/>
      <w:divBdr>
        <w:top w:val="none" w:sz="0" w:space="0" w:color="auto"/>
        <w:left w:val="none" w:sz="0" w:space="0" w:color="auto"/>
        <w:bottom w:val="none" w:sz="0" w:space="0" w:color="auto"/>
        <w:right w:val="none" w:sz="0" w:space="0" w:color="auto"/>
      </w:divBdr>
    </w:div>
    <w:div w:id="1208882757">
      <w:bodyDiv w:val="1"/>
      <w:marLeft w:val="0"/>
      <w:marRight w:val="0"/>
      <w:marTop w:val="0"/>
      <w:marBottom w:val="0"/>
      <w:divBdr>
        <w:top w:val="none" w:sz="0" w:space="0" w:color="auto"/>
        <w:left w:val="none" w:sz="0" w:space="0" w:color="auto"/>
        <w:bottom w:val="none" w:sz="0" w:space="0" w:color="auto"/>
        <w:right w:val="none" w:sz="0" w:space="0" w:color="auto"/>
      </w:divBdr>
      <w:divsChild>
        <w:div w:id="1818494739">
          <w:marLeft w:val="0"/>
          <w:marRight w:val="0"/>
          <w:marTop w:val="0"/>
          <w:marBottom w:val="0"/>
          <w:divBdr>
            <w:top w:val="none" w:sz="0" w:space="0" w:color="auto"/>
            <w:left w:val="none" w:sz="0" w:space="0" w:color="auto"/>
            <w:bottom w:val="none" w:sz="0" w:space="0" w:color="auto"/>
            <w:right w:val="none" w:sz="0" w:space="0" w:color="auto"/>
          </w:divBdr>
        </w:div>
        <w:div w:id="2088723700">
          <w:marLeft w:val="0"/>
          <w:marRight w:val="0"/>
          <w:marTop w:val="0"/>
          <w:marBottom w:val="0"/>
          <w:divBdr>
            <w:top w:val="none" w:sz="0" w:space="0" w:color="auto"/>
            <w:left w:val="none" w:sz="0" w:space="0" w:color="auto"/>
            <w:bottom w:val="none" w:sz="0" w:space="0" w:color="auto"/>
            <w:right w:val="none" w:sz="0" w:space="0" w:color="auto"/>
          </w:divBdr>
        </w:div>
        <w:div w:id="2042440665">
          <w:marLeft w:val="0"/>
          <w:marRight w:val="0"/>
          <w:marTop w:val="0"/>
          <w:marBottom w:val="0"/>
          <w:divBdr>
            <w:top w:val="none" w:sz="0" w:space="0" w:color="auto"/>
            <w:left w:val="none" w:sz="0" w:space="0" w:color="auto"/>
            <w:bottom w:val="none" w:sz="0" w:space="0" w:color="auto"/>
            <w:right w:val="none" w:sz="0" w:space="0" w:color="auto"/>
          </w:divBdr>
        </w:div>
      </w:divsChild>
    </w:div>
    <w:div w:id="1356346623">
      <w:bodyDiv w:val="1"/>
      <w:marLeft w:val="0"/>
      <w:marRight w:val="0"/>
      <w:marTop w:val="0"/>
      <w:marBottom w:val="0"/>
      <w:divBdr>
        <w:top w:val="none" w:sz="0" w:space="0" w:color="auto"/>
        <w:left w:val="none" w:sz="0" w:space="0" w:color="auto"/>
        <w:bottom w:val="none" w:sz="0" w:space="0" w:color="auto"/>
        <w:right w:val="none" w:sz="0" w:space="0" w:color="auto"/>
      </w:divBdr>
    </w:div>
    <w:div w:id="1635060101">
      <w:bodyDiv w:val="1"/>
      <w:marLeft w:val="0"/>
      <w:marRight w:val="0"/>
      <w:marTop w:val="0"/>
      <w:marBottom w:val="0"/>
      <w:divBdr>
        <w:top w:val="none" w:sz="0" w:space="0" w:color="auto"/>
        <w:left w:val="none" w:sz="0" w:space="0" w:color="auto"/>
        <w:bottom w:val="none" w:sz="0" w:space="0" w:color="auto"/>
        <w:right w:val="none" w:sz="0" w:space="0" w:color="auto"/>
      </w:divBdr>
    </w:div>
    <w:div w:id="1712530744">
      <w:bodyDiv w:val="1"/>
      <w:marLeft w:val="0"/>
      <w:marRight w:val="0"/>
      <w:marTop w:val="0"/>
      <w:marBottom w:val="0"/>
      <w:divBdr>
        <w:top w:val="none" w:sz="0" w:space="0" w:color="auto"/>
        <w:left w:val="none" w:sz="0" w:space="0" w:color="auto"/>
        <w:bottom w:val="none" w:sz="0" w:space="0" w:color="auto"/>
        <w:right w:val="none" w:sz="0" w:space="0" w:color="auto"/>
      </w:divBdr>
    </w:div>
    <w:div w:id="1928881339">
      <w:bodyDiv w:val="1"/>
      <w:marLeft w:val="0"/>
      <w:marRight w:val="0"/>
      <w:marTop w:val="0"/>
      <w:marBottom w:val="0"/>
      <w:divBdr>
        <w:top w:val="none" w:sz="0" w:space="0" w:color="auto"/>
        <w:left w:val="none" w:sz="0" w:space="0" w:color="auto"/>
        <w:bottom w:val="none" w:sz="0" w:space="0" w:color="auto"/>
        <w:right w:val="none" w:sz="0" w:space="0" w:color="auto"/>
      </w:divBdr>
      <w:divsChild>
        <w:div w:id="360130810">
          <w:marLeft w:val="0"/>
          <w:marRight w:val="0"/>
          <w:marTop w:val="0"/>
          <w:marBottom w:val="0"/>
          <w:divBdr>
            <w:top w:val="none" w:sz="0" w:space="0" w:color="auto"/>
            <w:left w:val="none" w:sz="0" w:space="0" w:color="auto"/>
            <w:bottom w:val="none" w:sz="0" w:space="0" w:color="auto"/>
            <w:right w:val="none" w:sz="0" w:space="0" w:color="auto"/>
          </w:divBdr>
        </w:div>
        <w:div w:id="2144417587">
          <w:marLeft w:val="0"/>
          <w:marRight w:val="0"/>
          <w:marTop w:val="0"/>
          <w:marBottom w:val="0"/>
          <w:divBdr>
            <w:top w:val="none" w:sz="0" w:space="0" w:color="auto"/>
            <w:left w:val="none" w:sz="0" w:space="0" w:color="auto"/>
            <w:bottom w:val="none" w:sz="0" w:space="0" w:color="auto"/>
            <w:right w:val="none" w:sz="0" w:space="0" w:color="auto"/>
          </w:divBdr>
        </w:div>
        <w:div w:id="652638644">
          <w:marLeft w:val="0"/>
          <w:marRight w:val="0"/>
          <w:marTop w:val="0"/>
          <w:marBottom w:val="0"/>
          <w:divBdr>
            <w:top w:val="none" w:sz="0" w:space="0" w:color="auto"/>
            <w:left w:val="none" w:sz="0" w:space="0" w:color="auto"/>
            <w:bottom w:val="none" w:sz="0" w:space="0" w:color="auto"/>
            <w:right w:val="none" w:sz="0" w:space="0" w:color="auto"/>
          </w:divBdr>
        </w:div>
        <w:div w:id="189342446">
          <w:marLeft w:val="0"/>
          <w:marRight w:val="0"/>
          <w:marTop w:val="0"/>
          <w:marBottom w:val="0"/>
          <w:divBdr>
            <w:top w:val="none" w:sz="0" w:space="0" w:color="auto"/>
            <w:left w:val="none" w:sz="0" w:space="0" w:color="auto"/>
            <w:bottom w:val="none" w:sz="0" w:space="0" w:color="auto"/>
            <w:right w:val="none" w:sz="0" w:space="0" w:color="auto"/>
          </w:divBdr>
        </w:div>
        <w:div w:id="269625142">
          <w:marLeft w:val="0"/>
          <w:marRight w:val="0"/>
          <w:marTop w:val="0"/>
          <w:marBottom w:val="0"/>
          <w:divBdr>
            <w:top w:val="none" w:sz="0" w:space="0" w:color="auto"/>
            <w:left w:val="none" w:sz="0" w:space="0" w:color="auto"/>
            <w:bottom w:val="none" w:sz="0" w:space="0" w:color="auto"/>
            <w:right w:val="none" w:sz="0" w:space="0" w:color="auto"/>
          </w:divBdr>
        </w:div>
        <w:div w:id="1516387158">
          <w:marLeft w:val="0"/>
          <w:marRight w:val="0"/>
          <w:marTop w:val="0"/>
          <w:marBottom w:val="0"/>
          <w:divBdr>
            <w:top w:val="none" w:sz="0" w:space="0" w:color="auto"/>
            <w:left w:val="none" w:sz="0" w:space="0" w:color="auto"/>
            <w:bottom w:val="none" w:sz="0" w:space="0" w:color="auto"/>
            <w:right w:val="none" w:sz="0" w:space="0" w:color="auto"/>
          </w:divBdr>
        </w:div>
        <w:div w:id="1820535928">
          <w:marLeft w:val="0"/>
          <w:marRight w:val="0"/>
          <w:marTop w:val="0"/>
          <w:marBottom w:val="0"/>
          <w:divBdr>
            <w:top w:val="none" w:sz="0" w:space="0" w:color="auto"/>
            <w:left w:val="none" w:sz="0" w:space="0" w:color="auto"/>
            <w:bottom w:val="none" w:sz="0" w:space="0" w:color="auto"/>
            <w:right w:val="none" w:sz="0" w:space="0" w:color="auto"/>
          </w:divBdr>
        </w:div>
        <w:div w:id="219562222">
          <w:marLeft w:val="0"/>
          <w:marRight w:val="0"/>
          <w:marTop w:val="0"/>
          <w:marBottom w:val="0"/>
          <w:divBdr>
            <w:top w:val="none" w:sz="0" w:space="0" w:color="auto"/>
            <w:left w:val="none" w:sz="0" w:space="0" w:color="auto"/>
            <w:bottom w:val="none" w:sz="0" w:space="0" w:color="auto"/>
            <w:right w:val="none" w:sz="0" w:space="0" w:color="auto"/>
          </w:divBdr>
        </w:div>
        <w:div w:id="236984158">
          <w:marLeft w:val="0"/>
          <w:marRight w:val="0"/>
          <w:marTop w:val="0"/>
          <w:marBottom w:val="0"/>
          <w:divBdr>
            <w:top w:val="none" w:sz="0" w:space="0" w:color="auto"/>
            <w:left w:val="none" w:sz="0" w:space="0" w:color="auto"/>
            <w:bottom w:val="none" w:sz="0" w:space="0" w:color="auto"/>
            <w:right w:val="none" w:sz="0" w:space="0" w:color="auto"/>
          </w:divBdr>
        </w:div>
      </w:divsChild>
    </w:div>
    <w:div w:id="1993292257">
      <w:bodyDiv w:val="1"/>
      <w:marLeft w:val="0"/>
      <w:marRight w:val="0"/>
      <w:marTop w:val="0"/>
      <w:marBottom w:val="0"/>
      <w:divBdr>
        <w:top w:val="none" w:sz="0" w:space="0" w:color="auto"/>
        <w:left w:val="none" w:sz="0" w:space="0" w:color="auto"/>
        <w:bottom w:val="none" w:sz="0" w:space="0" w:color="auto"/>
        <w:right w:val="none" w:sz="0" w:space="0" w:color="auto"/>
      </w:divBdr>
    </w:div>
    <w:div w:id="21307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82D7F2091F41869BA1BC4B322E13" ma:contentTypeVersion="16" ma:contentTypeDescription="Create a new document." ma:contentTypeScope="" ma:versionID="c288b7d39a1592d7ef49000b00816adf">
  <xsd:schema xmlns:xsd="http://www.w3.org/2001/XMLSchema" xmlns:xs="http://www.w3.org/2001/XMLSchema" xmlns:p="http://schemas.microsoft.com/office/2006/metadata/properties" xmlns:ns2="fb3755fa-05ff-4bdd-9bce-8933e8d8d891" xmlns:ns3="00fd4468-20d9-4049-b422-da74cf9fb12e" targetNamespace="http://schemas.microsoft.com/office/2006/metadata/properties" ma:root="true" ma:fieldsID="66b7ff5c981286534f82c610b5c810cb" ns2:_="" ns3:_="">
    <xsd:import namespace="fb3755fa-05ff-4bdd-9bce-8933e8d8d891"/>
    <xsd:import namespace="00fd4468-20d9-4049-b422-da74cf9fb1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55fa-05ff-4bdd-9bce-8933e8d8d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055090-a6ba-48d2-afb2-6210824f9d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d4468-20d9-4049-b422-da74cf9fb1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778354-669d-4f34-aeaa-c63f617c9d7a}" ma:internalName="TaxCatchAll" ma:showField="CatchAllData" ma:web="00fd4468-20d9-4049-b422-da74cf9fb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03F5-C70E-41D6-AD4D-AE0C8A962D49}">
  <ds:schemaRefs>
    <ds:schemaRef ds:uri="http://schemas.openxmlformats.org/officeDocument/2006/bibliography"/>
  </ds:schemaRefs>
</ds:datastoreItem>
</file>

<file path=customXml/itemProps2.xml><?xml version="1.0" encoding="utf-8"?>
<ds:datastoreItem xmlns:ds="http://schemas.openxmlformats.org/officeDocument/2006/customXml" ds:itemID="{A4798F5A-8D08-4365-B511-23D21FC45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55fa-05ff-4bdd-9bce-8933e8d8d891"/>
    <ds:schemaRef ds:uri="00fd4468-20d9-4049-b422-da74cf9f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EDF0D-98D5-4FA6-ABF5-8F8F280A2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5083</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Yapoka Mungandi</dc:creator>
  <cp:keywords/>
  <dc:description/>
  <cp:lastModifiedBy>Agnes Lilungwe</cp:lastModifiedBy>
  <cp:revision>10</cp:revision>
  <dcterms:created xsi:type="dcterms:W3CDTF">2022-11-24T11:13:00Z</dcterms:created>
  <dcterms:modified xsi:type="dcterms:W3CDTF">2022-11-25T12:21:00Z</dcterms:modified>
</cp:coreProperties>
</file>