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7E39" w14:textId="77777777" w:rsidR="0067097C" w:rsidRPr="00480C2B" w:rsidRDefault="0067097C" w:rsidP="00480C2B">
      <w:pPr>
        <w:spacing w:after="0" w:line="240" w:lineRule="auto"/>
        <w:jc w:val="center"/>
        <w:rPr>
          <w:rFonts w:ascii="Bookman Old Style" w:hAnsi="Bookman Old Style"/>
          <w:b/>
          <w:sz w:val="24"/>
          <w:szCs w:val="24"/>
        </w:rPr>
      </w:pPr>
      <w:r>
        <w:rPr>
          <w:rFonts w:ascii="Bookman Old Style" w:hAnsi="Bookman Old Style"/>
          <w:noProof/>
          <w:color w:val="000000"/>
          <w:sz w:val="24"/>
        </w:rPr>
        <w:drawing>
          <wp:inline distT="0" distB="0" distL="0" distR="0" wp14:anchorId="4C36D690" wp14:editId="7C7F920F">
            <wp:extent cx="940777" cy="1190139"/>
            <wp:effectExtent l="0" t="0" r="0" b="0"/>
            <wp:docPr id="1" name="Picture 1" descr="SADC PF Logo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 PF Logo - Small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777" cy="1190139"/>
                    </a:xfrm>
                    <a:prstGeom prst="rect">
                      <a:avLst/>
                    </a:prstGeom>
                    <a:noFill/>
                    <a:ln>
                      <a:noFill/>
                    </a:ln>
                  </pic:spPr>
                </pic:pic>
              </a:graphicData>
            </a:graphic>
          </wp:inline>
        </w:drawing>
      </w:r>
    </w:p>
    <w:p w14:paraId="6369E3F6" w14:textId="173FDCB1" w:rsidR="00CA5C86" w:rsidRPr="00480C2B" w:rsidRDefault="00480C2B" w:rsidP="00480C2B">
      <w:pPr>
        <w:spacing w:after="0" w:line="240" w:lineRule="auto"/>
        <w:jc w:val="center"/>
        <w:rPr>
          <w:rFonts w:ascii="Bookman Old Style" w:hAnsi="Bookman Old Style"/>
          <w:b/>
          <w:sz w:val="24"/>
          <w:szCs w:val="24"/>
        </w:rPr>
      </w:pPr>
      <w:r>
        <w:rPr>
          <w:rFonts w:ascii="Bookman Old Style" w:hAnsi="Bookman Old Style"/>
          <w:b/>
          <w:sz w:val="24"/>
        </w:rPr>
        <w:t>___________________________________________________________________________</w:t>
      </w:r>
    </w:p>
    <w:p w14:paraId="7D90BD8A" w14:textId="77777777" w:rsidR="00A00E99" w:rsidRPr="00D44753" w:rsidRDefault="00A00E99" w:rsidP="00D44753">
      <w:pPr>
        <w:spacing w:after="0" w:line="360" w:lineRule="auto"/>
        <w:jc w:val="center"/>
        <w:rPr>
          <w:rFonts w:ascii="Bookman Old Style" w:hAnsi="Bookman Old Style" w:cs="Times New Roman"/>
          <w:b/>
          <w:bCs/>
          <w:sz w:val="24"/>
          <w:szCs w:val="24"/>
        </w:rPr>
      </w:pPr>
      <w:r w:rsidRPr="00D44753">
        <w:rPr>
          <w:rFonts w:ascii="Bookman Old Style" w:hAnsi="Bookman Old Style" w:cs="Times New Roman"/>
          <w:b/>
          <w:bCs/>
          <w:sz w:val="24"/>
          <w:szCs w:val="24"/>
        </w:rPr>
        <w:t>52</w:t>
      </w:r>
      <w:r w:rsidRPr="00D44753">
        <w:rPr>
          <w:rFonts w:ascii="Bookman Old Style" w:hAnsi="Bookman Old Style" w:cs="Times New Roman"/>
          <w:b/>
          <w:bCs/>
          <w:sz w:val="24"/>
          <w:szCs w:val="24"/>
          <w:vertAlign w:val="superscript"/>
        </w:rPr>
        <w:t>ÈME</w:t>
      </w:r>
      <w:r w:rsidRPr="00D44753">
        <w:rPr>
          <w:rFonts w:ascii="Bookman Old Style" w:hAnsi="Bookman Old Style" w:cs="Times New Roman"/>
          <w:b/>
          <w:bCs/>
          <w:sz w:val="24"/>
          <w:szCs w:val="24"/>
        </w:rPr>
        <w:t xml:space="preserve"> ASSEMBLÉE PLÉNIÈRE</w:t>
      </w:r>
    </w:p>
    <w:p w14:paraId="34C4420E" w14:textId="77777777" w:rsidR="00A00E99" w:rsidRPr="00D44753" w:rsidRDefault="00A00E99" w:rsidP="00D44753">
      <w:pPr>
        <w:spacing w:after="0" w:line="360" w:lineRule="auto"/>
        <w:jc w:val="center"/>
        <w:rPr>
          <w:rFonts w:ascii="Bookman Old Style" w:hAnsi="Bookman Old Style" w:cs="Times New Roman"/>
          <w:b/>
          <w:bCs/>
          <w:sz w:val="24"/>
          <w:szCs w:val="24"/>
        </w:rPr>
      </w:pPr>
      <w:r w:rsidRPr="00D44753">
        <w:rPr>
          <w:rFonts w:ascii="Bookman Old Style" w:hAnsi="Bookman Old Style" w:cs="Times New Roman"/>
          <w:b/>
          <w:bCs/>
          <w:sz w:val="24"/>
          <w:szCs w:val="24"/>
        </w:rPr>
        <w:t>DU 1</w:t>
      </w:r>
      <w:r w:rsidRPr="00D44753">
        <w:rPr>
          <w:rFonts w:ascii="Bookman Old Style" w:hAnsi="Bookman Old Style" w:cs="Times New Roman"/>
          <w:b/>
          <w:bCs/>
          <w:sz w:val="24"/>
          <w:szCs w:val="24"/>
          <w:vertAlign w:val="superscript"/>
        </w:rPr>
        <w:t>ER</w:t>
      </w:r>
      <w:r w:rsidRPr="00D44753">
        <w:rPr>
          <w:rFonts w:ascii="Bookman Old Style" w:hAnsi="Bookman Old Style" w:cs="Times New Roman"/>
          <w:b/>
          <w:bCs/>
          <w:sz w:val="24"/>
          <w:szCs w:val="24"/>
        </w:rPr>
        <w:t xml:space="preserve"> AU 11 DECEMBRE 2022</w:t>
      </w:r>
    </w:p>
    <w:p w14:paraId="6826F4B7" w14:textId="77777777" w:rsidR="00A00E99" w:rsidRPr="00D44753" w:rsidRDefault="00A00E99" w:rsidP="00D44753">
      <w:pPr>
        <w:spacing w:after="0" w:line="360" w:lineRule="auto"/>
        <w:jc w:val="center"/>
        <w:rPr>
          <w:rFonts w:ascii="Bookman Old Style" w:hAnsi="Bookman Old Style" w:cs="Times New Roman"/>
          <w:b/>
          <w:bCs/>
          <w:sz w:val="24"/>
          <w:szCs w:val="24"/>
        </w:rPr>
      </w:pPr>
      <w:r w:rsidRPr="00D44753">
        <w:rPr>
          <w:rFonts w:ascii="Bookman Old Style" w:hAnsi="Bookman Old Style" w:cs="Times New Roman"/>
          <w:b/>
          <w:bCs/>
          <w:sz w:val="24"/>
          <w:szCs w:val="24"/>
        </w:rPr>
        <w:t>KINSHASA, RÉPUBLIQUE DÉMOCRATIQUE DU CONGO</w:t>
      </w:r>
    </w:p>
    <w:p w14:paraId="39870452" w14:textId="77777777" w:rsidR="00A00E99" w:rsidRPr="00D44753" w:rsidRDefault="00A00E99" w:rsidP="00D44753">
      <w:pPr>
        <w:spacing w:after="0" w:line="360" w:lineRule="auto"/>
        <w:jc w:val="center"/>
        <w:rPr>
          <w:rFonts w:ascii="Bookman Old Style" w:hAnsi="Bookman Old Style" w:cs="Times New Roman"/>
          <w:b/>
          <w:bCs/>
          <w:sz w:val="24"/>
          <w:szCs w:val="24"/>
        </w:rPr>
      </w:pPr>
    </w:p>
    <w:p w14:paraId="0BBD9097" w14:textId="77777777" w:rsidR="00A00E99" w:rsidRPr="00D44753" w:rsidRDefault="00A00E99" w:rsidP="00D44753">
      <w:pPr>
        <w:spacing w:after="0" w:line="360" w:lineRule="auto"/>
        <w:jc w:val="center"/>
        <w:rPr>
          <w:rFonts w:ascii="Bookman Old Style" w:hAnsi="Bookman Old Style" w:cs="Times New Roman"/>
          <w:b/>
          <w:bCs/>
          <w:sz w:val="24"/>
          <w:szCs w:val="24"/>
        </w:rPr>
      </w:pPr>
      <w:r w:rsidRPr="00D44753">
        <w:rPr>
          <w:rFonts w:ascii="Bookman Old Style" w:hAnsi="Bookman Old Style" w:cs="Times New Roman"/>
          <w:b/>
          <w:bCs/>
          <w:sz w:val="24"/>
          <w:szCs w:val="24"/>
        </w:rPr>
        <w:t>RAPPORT DU COMITÉ EXÉCUTIF SUR LES QUESTIONS FINANCIÈRES</w:t>
      </w:r>
    </w:p>
    <w:p w14:paraId="02609952" w14:textId="77777777" w:rsidR="00A00E99" w:rsidRPr="00D44753" w:rsidRDefault="00A00E99" w:rsidP="00D44753">
      <w:pPr>
        <w:spacing w:after="0" w:line="360" w:lineRule="auto"/>
        <w:jc w:val="center"/>
        <w:rPr>
          <w:rFonts w:ascii="Bookman Old Style" w:hAnsi="Bookman Old Style" w:cs="Times New Roman"/>
          <w:b/>
          <w:bCs/>
          <w:sz w:val="24"/>
          <w:szCs w:val="24"/>
        </w:rPr>
      </w:pPr>
      <w:r w:rsidRPr="00D44753">
        <w:rPr>
          <w:rFonts w:ascii="Bookman Old Style" w:hAnsi="Bookman Old Style" w:cs="Times New Roman"/>
          <w:b/>
          <w:bCs/>
          <w:sz w:val="24"/>
          <w:szCs w:val="24"/>
        </w:rPr>
        <w:t>(RAPPORT DU TRÉSORIER)</w:t>
      </w:r>
    </w:p>
    <w:p w14:paraId="464220BC" w14:textId="77777777" w:rsidR="00D12480" w:rsidRPr="00D44753" w:rsidRDefault="00D12480" w:rsidP="00D44753">
      <w:pPr>
        <w:pBdr>
          <w:bottom w:val="single" w:sz="12" w:space="1" w:color="auto"/>
        </w:pBdr>
        <w:spacing w:after="0" w:line="360" w:lineRule="auto"/>
        <w:jc w:val="center"/>
        <w:rPr>
          <w:rFonts w:ascii="Bookman Old Style" w:hAnsi="Bookman Old Style"/>
          <w:b/>
          <w:sz w:val="24"/>
          <w:szCs w:val="24"/>
        </w:rPr>
      </w:pPr>
    </w:p>
    <w:p w14:paraId="78EC7A1A" w14:textId="558F7825" w:rsidR="00480C2B" w:rsidRDefault="00BB06C5" w:rsidP="00D44753">
      <w:pPr>
        <w:pBdr>
          <w:bottom w:val="single" w:sz="12" w:space="1" w:color="auto"/>
        </w:pBdr>
        <w:spacing w:after="0" w:line="360" w:lineRule="auto"/>
        <w:jc w:val="center"/>
        <w:rPr>
          <w:rFonts w:ascii="Bookman Old Style" w:hAnsi="Bookman Old Style"/>
          <w:b/>
          <w:sz w:val="24"/>
          <w:szCs w:val="24"/>
        </w:rPr>
      </w:pPr>
      <w:r w:rsidRPr="00D44753">
        <w:rPr>
          <w:rFonts w:ascii="Bookman Old Style" w:hAnsi="Bookman Old Style"/>
          <w:b/>
          <w:sz w:val="24"/>
        </w:rPr>
        <w:t xml:space="preserve">DOCUMENT 3 :  </w:t>
      </w:r>
      <w:r w:rsidRPr="00D44753">
        <w:rPr>
          <w:rFonts w:ascii="Bookman Old Style" w:hAnsi="Bookman Old Style"/>
          <w:b/>
          <w:bCs/>
          <w:sz w:val="24"/>
        </w:rPr>
        <w:t>PROPOSITION DE BUDGET POUR L'EXERCICE FINANCIER DU 1</w:t>
      </w:r>
      <w:r w:rsidRPr="00D44753">
        <w:rPr>
          <w:rFonts w:ascii="Bookman Old Style" w:hAnsi="Bookman Old Style"/>
          <w:b/>
          <w:bCs/>
          <w:sz w:val="24"/>
          <w:vertAlign w:val="superscript"/>
        </w:rPr>
        <w:t>ER</w:t>
      </w:r>
      <w:r w:rsidRPr="00D44753">
        <w:rPr>
          <w:rFonts w:ascii="Bookman Old Style" w:hAnsi="Bookman Old Style"/>
          <w:b/>
          <w:bCs/>
          <w:sz w:val="24"/>
        </w:rPr>
        <w:t xml:space="preserve"> AVRIL 2023 AU 31 MARS 202</w:t>
      </w:r>
      <w:r w:rsidR="00A00E99" w:rsidRPr="00D44753">
        <w:rPr>
          <w:rFonts w:ascii="Bookman Old Style" w:hAnsi="Bookman Old Style"/>
          <w:b/>
          <w:bCs/>
          <w:sz w:val="24"/>
        </w:rPr>
        <w:t>4</w:t>
      </w:r>
      <w:r>
        <w:rPr>
          <w:rFonts w:ascii="Bookman Old Style" w:hAnsi="Bookman Old Style"/>
          <w:b/>
          <w:sz w:val="24"/>
        </w:rPr>
        <w:t xml:space="preserve"> </w:t>
      </w:r>
    </w:p>
    <w:p w14:paraId="2818A114" w14:textId="77777777" w:rsidR="00480C2B" w:rsidRPr="00480C2B" w:rsidRDefault="00480C2B" w:rsidP="00480C2B">
      <w:pPr>
        <w:pBdr>
          <w:bottom w:val="single" w:sz="12" w:space="1" w:color="auto"/>
        </w:pBdr>
        <w:spacing w:after="0" w:line="240" w:lineRule="auto"/>
        <w:jc w:val="center"/>
        <w:rPr>
          <w:rFonts w:ascii="Bookman Old Style" w:hAnsi="Bookman Old Style"/>
          <w:b/>
          <w:sz w:val="24"/>
          <w:szCs w:val="24"/>
        </w:rPr>
      </w:pPr>
    </w:p>
    <w:p w14:paraId="1E927ABB" w14:textId="61A779B0" w:rsidR="001D12F3" w:rsidRPr="00480C2B" w:rsidRDefault="001D12F3" w:rsidP="00480C2B">
      <w:pPr>
        <w:spacing w:after="0" w:line="240" w:lineRule="auto"/>
        <w:rPr>
          <w:rFonts w:ascii="Bookman Old Style" w:hAnsi="Bookman Old Style"/>
          <w:b/>
          <w:sz w:val="24"/>
          <w:szCs w:val="24"/>
        </w:rPr>
      </w:pPr>
    </w:p>
    <w:p w14:paraId="254C0990" w14:textId="304278EB" w:rsidR="007F6BD4" w:rsidRPr="00D44753" w:rsidRDefault="007F6BD4" w:rsidP="002D4927">
      <w:pPr>
        <w:pStyle w:val="ListParagraph"/>
        <w:numPr>
          <w:ilvl w:val="0"/>
          <w:numId w:val="26"/>
        </w:numPr>
        <w:jc w:val="both"/>
        <w:rPr>
          <w:rFonts w:ascii="Bookman Old Style" w:hAnsi="Bookman Old Style"/>
          <w:b/>
          <w:bCs/>
          <w:sz w:val="24"/>
          <w:szCs w:val="24"/>
        </w:rPr>
      </w:pPr>
      <w:r w:rsidRPr="00D44753">
        <w:rPr>
          <w:rFonts w:ascii="Bookman Old Style" w:hAnsi="Bookman Old Style"/>
          <w:b/>
          <w:sz w:val="24"/>
          <w:szCs w:val="24"/>
        </w:rPr>
        <w:t>PRÉAMBULE</w:t>
      </w:r>
    </w:p>
    <w:p w14:paraId="0125A744" w14:textId="77777777" w:rsidR="00D44753" w:rsidRPr="00D44753" w:rsidRDefault="00D44753" w:rsidP="00D44753">
      <w:pPr>
        <w:pStyle w:val="ListParagraph"/>
        <w:jc w:val="both"/>
        <w:rPr>
          <w:rFonts w:ascii="Bookman Old Style" w:hAnsi="Bookman Old Style"/>
          <w:b/>
          <w:bCs/>
          <w:sz w:val="24"/>
          <w:szCs w:val="24"/>
        </w:rPr>
      </w:pPr>
    </w:p>
    <w:p w14:paraId="711797E0" w14:textId="758F315B" w:rsidR="007F6BD4" w:rsidRPr="00D44753" w:rsidRDefault="007F6BD4" w:rsidP="00D44753">
      <w:pPr>
        <w:pStyle w:val="ListParagraph"/>
        <w:numPr>
          <w:ilvl w:val="1"/>
          <w:numId w:val="26"/>
        </w:numPr>
        <w:ind w:left="709" w:hanging="709"/>
        <w:jc w:val="both"/>
        <w:rPr>
          <w:rFonts w:ascii="Bookman Old Style" w:hAnsi="Bookman Old Style"/>
          <w:color w:val="282828"/>
          <w:sz w:val="24"/>
          <w:szCs w:val="24"/>
          <w:shd w:val="clear" w:color="auto" w:fill="FFFFFF"/>
        </w:rPr>
      </w:pPr>
      <w:r w:rsidRPr="00D44753">
        <w:rPr>
          <w:rFonts w:ascii="Bookman Old Style" w:hAnsi="Bookman Old Style"/>
          <w:color w:val="282828"/>
          <w:sz w:val="24"/>
          <w:shd w:val="clear" w:color="auto" w:fill="FFFFFF"/>
        </w:rPr>
        <w:t>L</w:t>
      </w:r>
      <w:r w:rsidR="00A00E99" w:rsidRPr="00D44753">
        <w:rPr>
          <w:rFonts w:ascii="Bookman Old Style" w:hAnsi="Bookman Old Style"/>
          <w:color w:val="282828"/>
          <w:sz w:val="24"/>
          <w:shd w:val="clear" w:color="auto" w:fill="FFFFFF"/>
        </w:rPr>
        <w:t>’Assemblée plénière</w:t>
      </w:r>
      <w:r>
        <w:rPr>
          <w:rFonts w:ascii="Bookman Old Style" w:hAnsi="Bookman Old Style"/>
          <w:color w:val="282828"/>
          <w:sz w:val="24"/>
          <w:shd w:val="clear" w:color="auto" w:fill="FFFFFF"/>
        </w:rPr>
        <w:t xml:space="preserve"> est invité</w:t>
      </w:r>
      <w:r w:rsidR="00A00E99">
        <w:rPr>
          <w:rFonts w:ascii="Bookman Old Style" w:hAnsi="Bookman Old Style"/>
          <w:color w:val="282828"/>
          <w:sz w:val="24"/>
          <w:shd w:val="clear" w:color="auto" w:fill="FFFFFF"/>
        </w:rPr>
        <w:t>e</w:t>
      </w:r>
      <w:r>
        <w:rPr>
          <w:rFonts w:ascii="Bookman Old Style" w:hAnsi="Bookman Old Style"/>
          <w:color w:val="282828"/>
          <w:sz w:val="24"/>
          <w:shd w:val="clear" w:color="auto" w:fill="FFFFFF"/>
        </w:rPr>
        <w:t xml:space="preserve"> à examiner le budget de l'organisation pour l'exercice financier allant du 1</w:t>
      </w:r>
      <w:r>
        <w:rPr>
          <w:rFonts w:ascii="Bookman Old Style" w:hAnsi="Bookman Old Style"/>
          <w:color w:val="282828"/>
          <w:sz w:val="24"/>
          <w:shd w:val="clear" w:color="auto" w:fill="FFFFFF"/>
          <w:vertAlign w:val="superscript"/>
        </w:rPr>
        <w:t>er</w:t>
      </w:r>
      <w:r>
        <w:rPr>
          <w:rFonts w:ascii="Bookman Old Style" w:hAnsi="Bookman Old Style"/>
          <w:color w:val="282828"/>
          <w:sz w:val="24"/>
          <w:shd w:val="clear" w:color="auto" w:fill="FFFFFF"/>
        </w:rPr>
        <w:t xml:space="preserve"> avril 2023 au 31 mars 2024. Bien que le budget soit destiné à couvrir les dépenses opérationnelles de l'organisation, il est essentiel que le Comité exécutif prenne en compte la situation dans son ensemble, notamment la diminution rapide du financement des donateurs, la faillite des principales économies donatrices en raison de la COVID-19, et le conflit actuel entre l'Ukraine et la Russie qui provoque une inflation mondiale vertigineuse. Bien que le Forum ait, comme beaucoup d'autres institutions, subi l'impact négatif de l'état actuel de l'environnement mondial, on s'attend toujours à ce qu'il réponde aux aspirations des citoyens de la SADC en se transformant en un Parlement de la SADC dans les prochaines années, tout en fonctionnant au même titre que d'autres organismes interparlementaires tels que le Parlement panafricain, l'Assemblée législative de l'Afrique de l'Est (EALA) ou le Parlement de la CEDEAO, afin de défendre les intérêts de la SADC au niveau international. Le Forum doit s'acquitter de son mandat et, pour ce faire, il doit disposer de la force financière et des ressources nécessaires pour fonctionner efficacement, comme le font d'autres organisations interparlementaires du même type dans le monde. </w:t>
      </w:r>
    </w:p>
    <w:p w14:paraId="116573DC" w14:textId="77777777" w:rsidR="00D44753" w:rsidRPr="00396103" w:rsidRDefault="00D44753" w:rsidP="00D44753">
      <w:pPr>
        <w:pStyle w:val="ListParagraph"/>
        <w:ind w:left="709"/>
        <w:jc w:val="both"/>
        <w:rPr>
          <w:rFonts w:ascii="Bookman Old Style" w:hAnsi="Bookman Old Style"/>
          <w:color w:val="282828"/>
          <w:sz w:val="24"/>
          <w:szCs w:val="24"/>
          <w:shd w:val="clear" w:color="auto" w:fill="FFFFFF"/>
        </w:rPr>
      </w:pPr>
    </w:p>
    <w:p w14:paraId="312A5FEA" w14:textId="7432BD76" w:rsidR="007F6BD4" w:rsidRPr="009B2C35" w:rsidRDefault="007F6BD4" w:rsidP="00D44753">
      <w:pPr>
        <w:pStyle w:val="ListParagraph"/>
        <w:numPr>
          <w:ilvl w:val="1"/>
          <w:numId w:val="26"/>
        </w:numPr>
        <w:ind w:left="567" w:hanging="567"/>
        <w:jc w:val="both"/>
        <w:rPr>
          <w:rFonts w:ascii="Bookman Old Style" w:hAnsi="Bookman Old Style"/>
          <w:color w:val="282828"/>
          <w:sz w:val="24"/>
          <w:szCs w:val="24"/>
          <w:shd w:val="clear" w:color="auto" w:fill="FFFFFF"/>
        </w:rPr>
      </w:pPr>
      <w:r w:rsidRPr="00D44753">
        <w:rPr>
          <w:rFonts w:ascii="Bookman Old Style" w:hAnsi="Bookman Old Style"/>
          <w:color w:val="282828"/>
          <w:sz w:val="24"/>
          <w:shd w:val="clear" w:color="auto" w:fill="FFFFFF"/>
        </w:rPr>
        <w:lastRenderedPageBreak/>
        <w:t>L</w:t>
      </w:r>
      <w:r w:rsidR="00A00E99" w:rsidRPr="00D44753">
        <w:rPr>
          <w:rFonts w:ascii="Bookman Old Style" w:hAnsi="Bookman Old Style"/>
          <w:color w:val="282828"/>
          <w:sz w:val="24"/>
          <w:shd w:val="clear" w:color="auto" w:fill="FFFFFF"/>
        </w:rPr>
        <w:t>’Assemblée plénière</w:t>
      </w:r>
      <w:r>
        <w:rPr>
          <w:rFonts w:ascii="Bookman Old Style" w:hAnsi="Bookman Old Style"/>
          <w:color w:val="282828"/>
          <w:sz w:val="24"/>
          <w:shd w:val="clear" w:color="auto" w:fill="FFFFFF"/>
        </w:rPr>
        <w:t xml:space="preserve"> est donc invité</w:t>
      </w:r>
      <w:r w:rsidR="00A00E99">
        <w:rPr>
          <w:rFonts w:ascii="Bookman Old Style" w:hAnsi="Bookman Old Style"/>
          <w:color w:val="282828"/>
          <w:sz w:val="24"/>
          <w:shd w:val="clear" w:color="auto" w:fill="FFFFFF"/>
        </w:rPr>
        <w:t>e</w:t>
      </w:r>
      <w:r>
        <w:rPr>
          <w:rFonts w:ascii="Bookman Old Style" w:hAnsi="Bookman Old Style"/>
          <w:color w:val="282828"/>
          <w:sz w:val="24"/>
          <w:shd w:val="clear" w:color="auto" w:fill="FFFFFF"/>
        </w:rPr>
        <w:t xml:space="preserve"> à examiner et à s'interroger sur les facteurs ci-après, qui devraient ensuite contribuer à l'appréciation par le Comité de la capacité du budget proposé à répondre aux aspirations du Forum :</w:t>
      </w:r>
    </w:p>
    <w:p w14:paraId="259773D8" w14:textId="77777777" w:rsidR="009B2C35" w:rsidRPr="00396103" w:rsidRDefault="009B2C35" w:rsidP="009B2C35">
      <w:pPr>
        <w:pStyle w:val="ListParagraph"/>
        <w:ind w:left="1440"/>
        <w:jc w:val="both"/>
        <w:rPr>
          <w:rFonts w:ascii="Bookman Old Style" w:hAnsi="Bookman Old Style"/>
          <w:color w:val="282828"/>
          <w:sz w:val="24"/>
          <w:szCs w:val="24"/>
          <w:shd w:val="clear" w:color="auto" w:fill="FFFFFF"/>
        </w:rPr>
      </w:pPr>
    </w:p>
    <w:p w14:paraId="41AE7172" w14:textId="2AECCA17" w:rsidR="007F6BD4" w:rsidRPr="0039610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Si le budget actuel incite les membres du Forum et son administration à adopter le bon comportement ;</w:t>
      </w:r>
    </w:p>
    <w:p w14:paraId="5C42E94B" w14:textId="77777777" w:rsidR="007F6BD4" w:rsidRPr="00794787" w:rsidRDefault="007F6BD4" w:rsidP="00D44753">
      <w:pPr>
        <w:pStyle w:val="ListParagraph"/>
        <w:ind w:left="851" w:hanging="851"/>
        <w:jc w:val="both"/>
        <w:rPr>
          <w:rStyle w:val="Strong"/>
          <w:rFonts w:ascii="Bookman Old Style" w:hAnsi="Bookman Old Style"/>
          <w:b w:val="0"/>
          <w:bCs w:val="0"/>
          <w:sz w:val="24"/>
          <w:szCs w:val="24"/>
        </w:rPr>
      </w:pPr>
    </w:p>
    <w:p w14:paraId="0DFCDC02" w14:textId="3F12F586"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 xml:space="preserve">La mesure dans laquelle le Forum est soutenu par le financement des donateurs pour les programmes thématiques et également pour faciliter certaines de ses réunions statutaires, y compris l'influence perçue du donateur sur ses priorités ; </w:t>
      </w:r>
    </w:p>
    <w:p w14:paraId="3890F292" w14:textId="77777777" w:rsidR="007F6BD4" w:rsidRPr="00794787" w:rsidRDefault="007F6BD4" w:rsidP="00D44753">
      <w:pPr>
        <w:pStyle w:val="ListParagraph"/>
        <w:ind w:left="851" w:hanging="851"/>
        <w:jc w:val="both"/>
        <w:rPr>
          <w:rStyle w:val="Strong"/>
          <w:rFonts w:ascii="Bookman Old Style" w:hAnsi="Bookman Old Style"/>
          <w:b w:val="0"/>
          <w:bCs w:val="0"/>
          <w:sz w:val="24"/>
          <w:szCs w:val="24"/>
        </w:rPr>
      </w:pPr>
    </w:p>
    <w:p w14:paraId="2BB6AD92" w14:textId="32616174"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Alors que le Forum a clairement pour mandat d'élaborer des lois types, ce qui deviendra encore plus crucial avec la transformation, il convient de se demander si le Forum dispose de ressources financières suffisantes à cet effet sans dépendre du financement des donateurs, ou s'il dispose effectivement de fonds suffisants pour d'autres activités thématiques à partir de son budget de base. L'implication pratique est que si l'Assemblée plénière décide de mettre en œuvre un programme, par exemple sur « Les parlements s'engagent sur le changement climatique », il n'y aura pas de budget pour le faire sans un donateur qui répond aux questions environnementales dans la SADC. En effet, cela limite les programmes et les comités, ainsi que les autres initiatives, qui doivent être mis en œuvre par le Forum ;</w:t>
      </w:r>
    </w:p>
    <w:p w14:paraId="1A2D8E69" w14:textId="77777777" w:rsidR="007F6BD4" w:rsidRPr="00794787" w:rsidRDefault="007F6BD4" w:rsidP="00D44753">
      <w:pPr>
        <w:pStyle w:val="ListParagraph"/>
        <w:ind w:left="851" w:hanging="851"/>
        <w:jc w:val="both"/>
        <w:rPr>
          <w:rStyle w:val="Strong"/>
          <w:rFonts w:ascii="Bookman Old Style" w:hAnsi="Bookman Old Style"/>
          <w:b w:val="0"/>
          <w:bCs w:val="0"/>
          <w:sz w:val="24"/>
          <w:szCs w:val="24"/>
        </w:rPr>
      </w:pPr>
    </w:p>
    <w:p w14:paraId="60BD19D9" w14:textId="0B39BD70"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Si le manque de ressources pour les activités statutaires et le manque de personnel de base étouffent le leadership et la croissance de l'organisation. Le Bureau de la Secrétaire générale, qui est censé fonctionner à un niveau stratégique, doit envisager et s'engager dans des opérations à la fois stratégiques et pratiques, ce qui n'est possible que parce que la Secrétaire générale était également l'ancienne directrice des programmes et qu'elle comprend les processus opérationnels tels que la mobilisation des ressources. Cependant, cela représente une charge de travail considérable pour le bureau de la Secrétaire générale, avec pour résultat qu'aucune activité ne peut avoir lieu sans la contribution active de la Secrétaire générale à la planification, à la préparation des présentations et à la participation aux événements afin d'assurer la visibilité du leadership du Secrétariat du Forum. En l'absence d'une dotation en personnel appropriée et/ou d'accords de détachement solides, des problèmes liés à l'éthique d'entreprise peuvent se poser, qu'il faudra alors résoudre ;</w:t>
      </w:r>
    </w:p>
    <w:p w14:paraId="2B72F769" w14:textId="77777777" w:rsidR="00D44753" w:rsidRPr="00D44753" w:rsidRDefault="00D44753" w:rsidP="00D44753">
      <w:pPr>
        <w:pStyle w:val="ListParagraph"/>
        <w:ind w:left="851"/>
        <w:jc w:val="both"/>
        <w:rPr>
          <w:rStyle w:val="Strong"/>
          <w:rFonts w:ascii="Bookman Old Style" w:hAnsi="Bookman Old Style"/>
          <w:b w:val="0"/>
          <w:bCs w:val="0"/>
          <w:sz w:val="24"/>
          <w:szCs w:val="24"/>
        </w:rPr>
      </w:pPr>
    </w:p>
    <w:p w14:paraId="72490831" w14:textId="45E2DE32"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 xml:space="preserve">L'année à venir, c'est-à-dire 2023/2024, semble être une année de défis. Les coûts administratifs ont dépassé la croissance des revenus, et il faudra y remédier. Le Forum doit envisager des stratégies visant à </w:t>
      </w:r>
      <w:r>
        <w:rPr>
          <w:rStyle w:val="Strong"/>
          <w:rFonts w:ascii="Bookman Old Style" w:hAnsi="Bookman Old Style"/>
          <w:b w:val="0"/>
          <w:sz w:val="24"/>
        </w:rPr>
        <w:lastRenderedPageBreak/>
        <w:t xml:space="preserve">gérer les coûts administratifs, tout en permettant la flexibilité et la </w:t>
      </w:r>
      <w:proofErr w:type="gramStart"/>
      <w:r>
        <w:rPr>
          <w:rStyle w:val="Strong"/>
          <w:rFonts w:ascii="Bookman Old Style" w:hAnsi="Bookman Old Style"/>
          <w:b w:val="0"/>
          <w:sz w:val="24"/>
        </w:rPr>
        <w:t>variabilité</w:t>
      </w:r>
      <w:proofErr w:type="gramEnd"/>
      <w:r>
        <w:rPr>
          <w:rStyle w:val="Strong"/>
          <w:rFonts w:ascii="Bookman Old Style" w:hAnsi="Bookman Old Style"/>
          <w:b w:val="0"/>
          <w:sz w:val="24"/>
        </w:rPr>
        <w:t xml:space="preserve"> pour faire face aux incertitudes des années à venir.</w:t>
      </w:r>
    </w:p>
    <w:p w14:paraId="76CC2673" w14:textId="77777777" w:rsidR="007F6BD4" w:rsidRPr="00153A43" w:rsidRDefault="007F6BD4" w:rsidP="00153A43">
      <w:pPr>
        <w:pStyle w:val="ListParagraph"/>
        <w:ind w:left="360"/>
        <w:jc w:val="both"/>
        <w:rPr>
          <w:rStyle w:val="Strong"/>
          <w:b w:val="0"/>
          <w:bCs w:val="0"/>
        </w:rPr>
      </w:pPr>
    </w:p>
    <w:p w14:paraId="10EC044A" w14:textId="3F66EEF6"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La SADC PF doit revoir ses indicateurs clés de performance (KPI). L'accent mis par l'institution sur la performance et la gestion des risques nécessite une réévaluation des paramètres pertinents pour les objectifs actuels de la SADC PF et exige donc que le Forum fixe des objectifs réalistes et facilite la mise en œuvre de ces derniers par le biais de résolutions. Il est important d'aligner les domaines d'intervention de 2023/2024 et de veiller à redéfinir les priorités des mesures de performance en fonction des ressources disponibles.</w:t>
      </w:r>
    </w:p>
    <w:p w14:paraId="496D3DC2" w14:textId="77777777" w:rsidR="007F6BD4" w:rsidRPr="00794787" w:rsidRDefault="007F6BD4" w:rsidP="00D44753">
      <w:pPr>
        <w:pStyle w:val="ListParagraph"/>
        <w:ind w:left="851" w:hanging="851"/>
        <w:jc w:val="both"/>
        <w:rPr>
          <w:rFonts w:ascii="Bookman Old Style" w:hAnsi="Bookman Old Style"/>
          <w:color w:val="282828"/>
          <w:sz w:val="24"/>
          <w:szCs w:val="24"/>
          <w:shd w:val="clear" w:color="auto" w:fill="FFFFFF"/>
        </w:rPr>
      </w:pPr>
    </w:p>
    <w:p w14:paraId="7EE72220" w14:textId="041299ED"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Compte tenu des postes vacants, le personnel occupant d'autres postes est déployé dans les domaines où les besoins sont les plus pressants, ce qui ne lui permet pas de se concentrer sur les indicateurs clés de performance (KPI) prévus dans son contrat de travail avec le Forum. Les indicateurs clés de performance deviennent ainsi négociables et non précis, ce qui étouffe l'innovation et entrave la réponse du Forum à son plan stratégique.</w:t>
      </w:r>
    </w:p>
    <w:p w14:paraId="04151FFD" w14:textId="77777777" w:rsidR="007F6BD4" w:rsidRPr="00153A43" w:rsidRDefault="007F6BD4" w:rsidP="00D44753">
      <w:pPr>
        <w:pStyle w:val="ListParagraph"/>
        <w:ind w:left="851" w:hanging="851"/>
        <w:jc w:val="both"/>
        <w:rPr>
          <w:rStyle w:val="Strong"/>
          <w:b w:val="0"/>
          <w:bCs w:val="0"/>
        </w:rPr>
      </w:pPr>
    </w:p>
    <w:p w14:paraId="3978D1DA" w14:textId="05A7F253"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 xml:space="preserve">Les ressources disponibles et la budgétisation étroite de l'organisation ont remplacé et privilégié les performances financières par rapport à la stratégie, sous la pression de respecter les chiffres du budget et de rester dans les limites des contributions des membres, avec </w:t>
      </w:r>
      <w:proofErr w:type="gramStart"/>
      <w:r>
        <w:rPr>
          <w:rStyle w:val="Strong"/>
          <w:rFonts w:ascii="Bookman Old Style" w:hAnsi="Bookman Old Style"/>
          <w:b w:val="0"/>
          <w:sz w:val="24"/>
        </w:rPr>
        <w:t>une faible capacité</w:t>
      </w:r>
      <w:proofErr w:type="gramEnd"/>
      <w:r>
        <w:rPr>
          <w:rStyle w:val="Strong"/>
          <w:rFonts w:ascii="Bookman Old Style" w:hAnsi="Bookman Old Style"/>
          <w:b w:val="0"/>
          <w:sz w:val="24"/>
        </w:rPr>
        <w:t xml:space="preserve"> d'ajustement.</w:t>
      </w:r>
    </w:p>
    <w:p w14:paraId="6B1760B9" w14:textId="77777777" w:rsidR="007F6BD4" w:rsidRPr="00153A43" w:rsidRDefault="007F6BD4" w:rsidP="00D44753">
      <w:pPr>
        <w:pStyle w:val="ListParagraph"/>
        <w:ind w:left="851" w:hanging="851"/>
        <w:jc w:val="both"/>
        <w:rPr>
          <w:rFonts w:ascii="Bookman Old Style" w:hAnsi="Bookman Old Style"/>
          <w:sz w:val="24"/>
          <w:szCs w:val="24"/>
          <w:shd w:val="clear" w:color="auto" w:fill="FFFFFF"/>
        </w:rPr>
      </w:pPr>
    </w:p>
    <w:p w14:paraId="7AE692D0" w14:textId="2C7A7F24" w:rsidR="007F6BD4" w:rsidRPr="00153A43" w:rsidRDefault="007F6BD4" w:rsidP="00D44753">
      <w:pPr>
        <w:pStyle w:val="ListParagraph"/>
        <w:numPr>
          <w:ilvl w:val="2"/>
          <w:numId w:val="26"/>
        </w:numPr>
        <w:ind w:left="851" w:hanging="851"/>
        <w:jc w:val="both"/>
        <w:rPr>
          <w:rStyle w:val="Strong"/>
          <w:rFonts w:ascii="Bookman Old Style" w:hAnsi="Bookman Old Style"/>
          <w:b w:val="0"/>
          <w:bCs w:val="0"/>
          <w:sz w:val="24"/>
          <w:szCs w:val="24"/>
        </w:rPr>
      </w:pPr>
      <w:r>
        <w:rPr>
          <w:rStyle w:val="Strong"/>
          <w:rFonts w:ascii="Bookman Old Style" w:hAnsi="Bookman Old Style"/>
          <w:b w:val="0"/>
          <w:sz w:val="24"/>
        </w:rPr>
        <w:t>Il est nécessaire d'examiner les facteurs internes essentiels tels que le coût et la valeur de la structure du secrétariat, y compris les postes et les capacités clés.</w:t>
      </w:r>
    </w:p>
    <w:p w14:paraId="7A9B2E45" w14:textId="77777777" w:rsidR="007F6BD4" w:rsidRPr="00794787" w:rsidRDefault="007F6BD4" w:rsidP="00153A43">
      <w:pPr>
        <w:pStyle w:val="ListParagraph"/>
        <w:jc w:val="both"/>
        <w:rPr>
          <w:rStyle w:val="Strong"/>
          <w:rFonts w:ascii="Bookman Old Style" w:hAnsi="Bookman Old Style"/>
          <w:b w:val="0"/>
          <w:bCs w:val="0"/>
          <w:sz w:val="24"/>
          <w:szCs w:val="24"/>
        </w:rPr>
      </w:pPr>
    </w:p>
    <w:p w14:paraId="2E4AFEE2" w14:textId="14E10287" w:rsidR="007F6BD4" w:rsidRPr="00153A43" w:rsidRDefault="007F6BD4" w:rsidP="00D44753">
      <w:pPr>
        <w:pStyle w:val="ListParagraph"/>
        <w:numPr>
          <w:ilvl w:val="1"/>
          <w:numId w:val="26"/>
        </w:numPr>
        <w:ind w:left="567" w:hanging="567"/>
        <w:jc w:val="both"/>
        <w:rPr>
          <w:rFonts w:ascii="Bookman Old Style" w:hAnsi="Bookman Old Style"/>
          <w:sz w:val="24"/>
          <w:szCs w:val="24"/>
        </w:rPr>
      </w:pPr>
      <w:r>
        <w:rPr>
          <w:rStyle w:val="Strong"/>
          <w:rFonts w:ascii="Bookman Old Style" w:hAnsi="Bookman Old Style"/>
          <w:b w:val="0"/>
          <w:sz w:val="24"/>
        </w:rPr>
        <w:t xml:space="preserve">Ce qui précède aidera l'Assemblée plénière à examiner en fin de compte toutes les équations requises pour éviter le piège consistant à supposer que la transformation imminente est un « acquis » qui ne nécessite que peu ou pas de discussion concernant les finances de l'organisation et l'entrée en vigueur du protocole. Par exemple, </w:t>
      </w:r>
      <w:r>
        <w:rPr>
          <w:rFonts w:ascii="Bookman Old Style" w:hAnsi="Bookman Old Style"/>
          <w:sz w:val="24"/>
        </w:rPr>
        <w:t>avec les effectifs actuels, en cas de non-augmentation des cotisations, on estime que la masse salariale absorbera 99 % des cotisations des membres en 2026. Cela signifie qu'en l'absence d'augmentation des contributions des membres, et sans financement externe, les activités essentielles du Forum, y compris la coopération interparlementaire et la diplomatie, seront fortement et négativement affectées car il n'y aura pas de ressources financières pour assurer la mise en œuvre de ses activités statutaires et autres activités essentielles au-delà du paiement des salaires.</w:t>
      </w:r>
    </w:p>
    <w:p w14:paraId="0026F563" w14:textId="77777777" w:rsidR="004258F5" w:rsidRPr="00794787" w:rsidRDefault="004258F5" w:rsidP="00153A43">
      <w:pPr>
        <w:pStyle w:val="ListParagraph"/>
        <w:ind w:left="1440"/>
        <w:jc w:val="both"/>
        <w:rPr>
          <w:rStyle w:val="Strong"/>
          <w:rFonts w:ascii="Bookman Old Style" w:hAnsi="Bookman Old Style"/>
          <w:b w:val="0"/>
          <w:bCs w:val="0"/>
          <w:sz w:val="24"/>
          <w:szCs w:val="24"/>
        </w:rPr>
      </w:pPr>
    </w:p>
    <w:p w14:paraId="39154B76" w14:textId="6A2C297D" w:rsidR="009944B2" w:rsidRPr="00153A43" w:rsidRDefault="000B601F" w:rsidP="00D44753">
      <w:pPr>
        <w:pStyle w:val="ListParagraph"/>
        <w:numPr>
          <w:ilvl w:val="1"/>
          <w:numId w:val="26"/>
        </w:numPr>
        <w:ind w:left="567" w:hanging="567"/>
        <w:jc w:val="both"/>
        <w:rPr>
          <w:rStyle w:val="Strong"/>
          <w:rFonts w:ascii="Bookman Old Style" w:hAnsi="Bookman Old Style"/>
          <w:b w:val="0"/>
          <w:bCs w:val="0"/>
          <w:sz w:val="24"/>
          <w:szCs w:val="24"/>
        </w:rPr>
      </w:pPr>
      <w:r>
        <w:rPr>
          <w:rStyle w:val="Strong"/>
          <w:rFonts w:ascii="Bookman Old Style" w:hAnsi="Bookman Old Style"/>
          <w:b w:val="0"/>
          <w:sz w:val="24"/>
        </w:rPr>
        <w:t>L</w:t>
      </w:r>
      <w:r w:rsidR="00A00E99">
        <w:rPr>
          <w:rStyle w:val="Strong"/>
          <w:rFonts w:ascii="Bookman Old Style" w:hAnsi="Bookman Old Style"/>
          <w:b w:val="0"/>
          <w:sz w:val="24"/>
        </w:rPr>
        <w:t>’Assemblée plénière</w:t>
      </w:r>
      <w:r>
        <w:rPr>
          <w:rStyle w:val="Strong"/>
          <w:rFonts w:ascii="Bookman Old Style" w:hAnsi="Bookman Old Style"/>
          <w:b w:val="0"/>
          <w:sz w:val="24"/>
        </w:rPr>
        <w:t xml:space="preserve"> tient également à rappeler que la 51</w:t>
      </w:r>
      <w:r>
        <w:rPr>
          <w:rStyle w:val="Strong"/>
          <w:rFonts w:ascii="Bookman Old Style" w:hAnsi="Bookman Old Style"/>
          <w:b w:val="0"/>
          <w:sz w:val="24"/>
          <w:vertAlign w:val="superscript"/>
        </w:rPr>
        <w:t>e</w:t>
      </w:r>
      <w:r>
        <w:rPr>
          <w:rStyle w:val="Strong"/>
          <w:rFonts w:ascii="Bookman Old Style" w:hAnsi="Bookman Old Style"/>
          <w:b w:val="0"/>
          <w:sz w:val="24"/>
        </w:rPr>
        <w:t xml:space="preserve"> Assemblée plénière a modifié la Constitution pour y inclure la création du Fonds </w:t>
      </w:r>
      <w:r>
        <w:rPr>
          <w:rStyle w:val="Strong"/>
          <w:rFonts w:ascii="Bookman Old Style" w:hAnsi="Bookman Old Style"/>
          <w:b w:val="0"/>
          <w:sz w:val="24"/>
        </w:rPr>
        <w:lastRenderedPageBreak/>
        <w:t xml:space="preserve">fiduciaire. </w:t>
      </w:r>
      <w:bookmarkStart w:id="0" w:name="_Hlk116050441"/>
      <w:r>
        <w:rPr>
          <w:rStyle w:val="Strong"/>
          <w:rFonts w:ascii="Bookman Old Style" w:hAnsi="Bookman Old Style"/>
          <w:b w:val="0"/>
          <w:sz w:val="24"/>
        </w:rPr>
        <w:t xml:space="preserve">Cela figure à </w:t>
      </w:r>
      <w:r>
        <w:rPr>
          <w:rFonts w:ascii="Bookman Old Style" w:hAnsi="Bookman Old Style"/>
          <w:sz w:val="24"/>
        </w:rPr>
        <w:t xml:space="preserve">l'article 13. </w:t>
      </w:r>
      <w:bookmarkEnd w:id="0"/>
      <w:r w:rsidR="00BB4145">
        <w:rPr>
          <w:rFonts w:ascii="Bookman Old Style" w:hAnsi="Bookman Old Style"/>
          <w:sz w:val="24"/>
        </w:rPr>
        <w:t>Cependant,</w:t>
      </w:r>
      <w:r w:rsidR="00BB4145">
        <w:rPr>
          <w:rStyle w:val="Strong"/>
          <w:rFonts w:ascii="Bookman Old Style" w:hAnsi="Bookman Old Style"/>
          <w:b w:val="0"/>
          <w:sz w:val="24"/>
        </w:rPr>
        <w:t xml:space="preserve"> même</w:t>
      </w:r>
      <w:r>
        <w:rPr>
          <w:rStyle w:val="Strong"/>
          <w:rFonts w:ascii="Bookman Old Style" w:hAnsi="Bookman Old Style"/>
          <w:b w:val="0"/>
          <w:sz w:val="24"/>
        </w:rPr>
        <w:t xml:space="preserve"> si la </w:t>
      </w:r>
      <w:r w:rsidR="00BB4145">
        <w:rPr>
          <w:rStyle w:val="Strong"/>
          <w:rFonts w:ascii="Bookman Old Style" w:hAnsi="Bookman Old Style"/>
          <w:b w:val="0"/>
          <w:sz w:val="24"/>
        </w:rPr>
        <w:t xml:space="preserve">fiducie de la </w:t>
      </w:r>
      <w:r>
        <w:rPr>
          <w:rStyle w:val="Strong"/>
          <w:rFonts w:ascii="Bookman Old Style" w:hAnsi="Bookman Old Style"/>
          <w:b w:val="0"/>
          <w:sz w:val="24"/>
        </w:rPr>
        <w:t xml:space="preserve">SADC-PF </w:t>
      </w:r>
      <w:r w:rsidR="00BB4145">
        <w:rPr>
          <w:rStyle w:val="Strong"/>
          <w:rFonts w:ascii="Bookman Old Style" w:hAnsi="Bookman Old Style"/>
          <w:b w:val="0"/>
          <w:sz w:val="24"/>
        </w:rPr>
        <w:t>et</w:t>
      </w:r>
      <w:r>
        <w:rPr>
          <w:rStyle w:val="Strong"/>
          <w:rFonts w:ascii="Bookman Old Style" w:hAnsi="Bookman Old Style"/>
          <w:b w:val="0"/>
          <w:sz w:val="24"/>
        </w:rPr>
        <w:t xml:space="preserve"> </w:t>
      </w:r>
      <w:r w:rsidR="00BB4145">
        <w:rPr>
          <w:rStyle w:val="Strong"/>
          <w:rFonts w:ascii="Bookman Old Style" w:hAnsi="Bookman Old Style"/>
          <w:b w:val="0"/>
          <w:sz w:val="24"/>
        </w:rPr>
        <w:t xml:space="preserve">ses successeurs </w:t>
      </w:r>
      <w:r>
        <w:rPr>
          <w:rStyle w:val="Strong"/>
          <w:rFonts w:ascii="Bookman Old Style" w:hAnsi="Bookman Old Style"/>
          <w:b w:val="0"/>
          <w:sz w:val="24"/>
        </w:rPr>
        <w:t>doi</w:t>
      </w:r>
      <w:r w:rsidR="00BB4145">
        <w:rPr>
          <w:rStyle w:val="Strong"/>
          <w:rFonts w:ascii="Bookman Old Style" w:hAnsi="Bookman Old Style"/>
          <w:b w:val="0"/>
          <w:sz w:val="24"/>
        </w:rPr>
        <w:t>vent</w:t>
      </w:r>
      <w:r>
        <w:rPr>
          <w:rStyle w:val="Strong"/>
          <w:rFonts w:ascii="Bookman Old Style" w:hAnsi="Bookman Old Style"/>
          <w:b w:val="0"/>
          <w:sz w:val="24"/>
        </w:rPr>
        <w:t xml:space="preserve"> être enregistré</w:t>
      </w:r>
      <w:r w:rsidR="00BB4145">
        <w:rPr>
          <w:rStyle w:val="Strong"/>
          <w:rFonts w:ascii="Bookman Old Style" w:hAnsi="Bookman Old Style"/>
          <w:b w:val="0"/>
          <w:sz w:val="24"/>
        </w:rPr>
        <w:t>s</w:t>
      </w:r>
      <w:r>
        <w:rPr>
          <w:rStyle w:val="Strong"/>
          <w:rFonts w:ascii="Bookman Old Style" w:hAnsi="Bookman Old Style"/>
          <w:b w:val="0"/>
          <w:sz w:val="24"/>
        </w:rPr>
        <w:t xml:space="preserve"> dans les mois à venir, il faudra du temps (au moins 2 à 3 ans) pour qu'elle soit opérationnelle et puisse canaliser les fonds vers le Forum. De même, la création de la fiducie ne garantit pas en soi que des ressources financières adéquates seront mobilisées au cours de la période critique requise. Pendant ce temps, le Forum doit fournir des capitaux d'amorçage à la fiducie et encourir d'autres coûts connexes, ce qui constitue une dépense opérationnelle supplémentaire.</w:t>
      </w:r>
    </w:p>
    <w:p w14:paraId="10B996DA" w14:textId="77777777" w:rsidR="00D44753" w:rsidRPr="00D44753" w:rsidRDefault="00D44753" w:rsidP="00D44753">
      <w:pPr>
        <w:pStyle w:val="ListParagraph"/>
        <w:ind w:left="567"/>
        <w:jc w:val="both"/>
        <w:rPr>
          <w:rStyle w:val="Strong"/>
          <w:rFonts w:ascii="Bookman Old Style" w:hAnsi="Bookman Old Style"/>
          <w:b w:val="0"/>
          <w:bCs w:val="0"/>
          <w:sz w:val="24"/>
          <w:szCs w:val="24"/>
        </w:rPr>
      </w:pPr>
    </w:p>
    <w:p w14:paraId="223C5DEA" w14:textId="116CA9C5" w:rsidR="007F6BD4" w:rsidRPr="00153A43" w:rsidRDefault="007F6BD4" w:rsidP="00D44753">
      <w:pPr>
        <w:pStyle w:val="ListParagraph"/>
        <w:numPr>
          <w:ilvl w:val="1"/>
          <w:numId w:val="26"/>
        </w:numPr>
        <w:ind w:left="567" w:hanging="567"/>
        <w:jc w:val="both"/>
        <w:rPr>
          <w:rStyle w:val="Strong"/>
          <w:rFonts w:ascii="Bookman Old Style" w:hAnsi="Bookman Old Style"/>
          <w:b w:val="0"/>
          <w:bCs w:val="0"/>
          <w:sz w:val="24"/>
          <w:szCs w:val="24"/>
        </w:rPr>
      </w:pPr>
      <w:r>
        <w:rPr>
          <w:rStyle w:val="Strong"/>
          <w:rFonts w:ascii="Bookman Old Style" w:hAnsi="Bookman Old Style"/>
          <w:b w:val="0"/>
          <w:sz w:val="24"/>
        </w:rPr>
        <w:t xml:space="preserve">Compte tenu de ce qui précède, </w:t>
      </w:r>
      <w:r w:rsidR="00A00E99" w:rsidRPr="00D44753">
        <w:rPr>
          <w:rStyle w:val="Strong"/>
          <w:rFonts w:ascii="Bookman Old Style" w:hAnsi="Bookman Old Style"/>
          <w:b w:val="0"/>
          <w:sz w:val="24"/>
        </w:rPr>
        <w:t>l’Assemblée plénière</w:t>
      </w:r>
      <w:r w:rsidRPr="00D44753">
        <w:rPr>
          <w:rStyle w:val="Strong"/>
          <w:rFonts w:ascii="Bookman Old Style" w:hAnsi="Bookman Old Style"/>
          <w:b w:val="0"/>
          <w:sz w:val="24"/>
        </w:rPr>
        <w:t xml:space="preserve"> doit</w:t>
      </w:r>
      <w:r>
        <w:rPr>
          <w:rStyle w:val="Strong"/>
          <w:rFonts w:ascii="Bookman Old Style" w:hAnsi="Bookman Old Style"/>
          <w:b w:val="0"/>
          <w:sz w:val="24"/>
        </w:rPr>
        <w:t xml:space="preserve"> évaluer la base de ressources et la durabilité de l'organisation et déterminer si elle est conforme à la vision stratégique globale. </w:t>
      </w:r>
    </w:p>
    <w:p w14:paraId="7AB9880D" w14:textId="77777777" w:rsidR="00D44753" w:rsidRPr="00D44753" w:rsidRDefault="00D44753" w:rsidP="00D44753">
      <w:pPr>
        <w:pStyle w:val="ListParagraph"/>
        <w:ind w:left="567"/>
        <w:jc w:val="both"/>
        <w:rPr>
          <w:rStyle w:val="Strong"/>
          <w:rFonts w:ascii="Bookman Old Style" w:hAnsi="Bookman Old Style"/>
          <w:b w:val="0"/>
          <w:bCs w:val="0"/>
          <w:sz w:val="24"/>
          <w:szCs w:val="24"/>
        </w:rPr>
      </w:pPr>
    </w:p>
    <w:p w14:paraId="00EBA8E9" w14:textId="4A27FA48" w:rsidR="007F6BD4" w:rsidRPr="00153A43" w:rsidRDefault="007F6BD4" w:rsidP="00D44753">
      <w:pPr>
        <w:pStyle w:val="ListParagraph"/>
        <w:numPr>
          <w:ilvl w:val="1"/>
          <w:numId w:val="26"/>
        </w:numPr>
        <w:ind w:left="567" w:hanging="567"/>
        <w:jc w:val="both"/>
        <w:rPr>
          <w:rStyle w:val="Strong"/>
          <w:rFonts w:ascii="Bookman Old Style" w:hAnsi="Bookman Old Style"/>
          <w:b w:val="0"/>
          <w:bCs w:val="0"/>
          <w:sz w:val="24"/>
          <w:szCs w:val="24"/>
        </w:rPr>
      </w:pPr>
      <w:r>
        <w:rPr>
          <w:rStyle w:val="Strong"/>
          <w:rFonts w:ascii="Bookman Old Style" w:hAnsi="Bookman Old Style"/>
          <w:b w:val="0"/>
          <w:sz w:val="24"/>
        </w:rPr>
        <w:t>Viabilité financière</w:t>
      </w:r>
    </w:p>
    <w:p w14:paraId="6BBBB062" w14:textId="750FA5DD" w:rsidR="007F6BD4" w:rsidRPr="00153A43" w:rsidRDefault="007F6BD4" w:rsidP="00D44753">
      <w:pPr>
        <w:ind w:left="567"/>
        <w:jc w:val="both"/>
        <w:rPr>
          <w:rStyle w:val="Strong"/>
          <w:rFonts w:ascii="Bookman Old Style" w:hAnsi="Bookman Old Style"/>
          <w:b w:val="0"/>
          <w:bCs w:val="0"/>
          <w:sz w:val="24"/>
          <w:szCs w:val="24"/>
        </w:rPr>
      </w:pPr>
      <w:r>
        <w:rPr>
          <w:rStyle w:val="Strong"/>
          <w:rFonts w:ascii="Bookman Old Style" w:hAnsi="Bookman Old Style"/>
          <w:b w:val="0"/>
          <w:sz w:val="24"/>
        </w:rPr>
        <w:t xml:space="preserve">Le Forum doit se doter d'une </w:t>
      </w:r>
      <w:r>
        <w:rPr>
          <w:rFonts w:ascii="Bookman Old Style" w:hAnsi="Bookman Old Style"/>
          <w:sz w:val="24"/>
        </w:rPr>
        <w:t>stratégie de gestion des revenus et des dépenses qui lui permettra de poursuivre sa mission et ses objectifs opérationnels dans les années à venir. Cela ne peut être réalisé que si le Forum dispose d'une base stable de contributions annuelles, ajustées périodiquement et en temps utile en fonction de l'inflation et d'autres facteurs économiques, et d'un portefeuille de financement des donateurs bien diversifié et durable. Le défi réside dans l'engagement de l'institution à collecter des recettes en interne (contributions des membres) et en externe (auprès des donateurs) et à gérer en même temps ses dépenses de fonctionnement. En outre, l'absence d'expertise adéquate au sein du département « Affaires et programmes parlementaires » exacerbe l'incapacité à trouver des financements externes.</w:t>
      </w:r>
    </w:p>
    <w:p w14:paraId="266D4123" w14:textId="7D0830A8" w:rsidR="007F6BD4" w:rsidRPr="00153A43" w:rsidRDefault="00EF3AF5" w:rsidP="00D44753">
      <w:pPr>
        <w:pStyle w:val="ListParagraph"/>
        <w:numPr>
          <w:ilvl w:val="1"/>
          <w:numId w:val="26"/>
        </w:numPr>
        <w:ind w:left="567" w:hanging="567"/>
        <w:jc w:val="both"/>
        <w:rPr>
          <w:rStyle w:val="Strong"/>
          <w:rFonts w:ascii="Bookman Old Style" w:hAnsi="Bookman Old Style"/>
          <w:b w:val="0"/>
          <w:bCs w:val="0"/>
          <w:sz w:val="24"/>
          <w:szCs w:val="24"/>
        </w:rPr>
      </w:pPr>
      <w:r>
        <w:rPr>
          <w:rStyle w:val="Strong"/>
          <w:rFonts w:ascii="Bookman Old Style" w:hAnsi="Bookman Old Style"/>
          <w:b w:val="0"/>
          <w:sz w:val="24"/>
        </w:rPr>
        <w:t>Dans le but de démontrer la dépendance du Forum vis-à-vis des financements externes, le tableau suivant donne un aperçu des contributions des sources de revenus du Forum aux dépenses du Forum, conformément au budget approuvé pour l'exercice financier se terminant le 31 mars 2023.</w:t>
      </w:r>
    </w:p>
    <w:tbl>
      <w:tblPr>
        <w:tblW w:w="5000" w:type="pct"/>
        <w:tblLook w:val="04A0" w:firstRow="1" w:lastRow="0" w:firstColumn="1" w:lastColumn="0" w:noHBand="0" w:noVBand="1"/>
      </w:tblPr>
      <w:tblGrid>
        <w:gridCol w:w="5050"/>
        <w:gridCol w:w="1139"/>
        <w:gridCol w:w="1389"/>
        <w:gridCol w:w="1472"/>
      </w:tblGrid>
      <w:tr w:rsidR="007F6BD4" w:rsidRPr="00BB4145" w14:paraId="14C36CBC" w14:textId="77777777" w:rsidTr="00BB4145">
        <w:trPr>
          <w:trHeight w:val="288"/>
        </w:trPr>
        <w:tc>
          <w:tcPr>
            <w:tcW w:w="2336" w:type="pct"/>
            <w:tcBorders>
              <w:top w:val="single" w:sz="8" w:space="0" w:color="auto"/>
              <w:left w:val="single" w:sz="8" w:space="0" w:color="auto"/>
              <w:bottom w:val="nil"/>
              <w:right w:val="single" w:sz="8" w:space="0" w:color="auto"/>
            </w:tcBorders>
            <w:shd w:val="clear" w:color="auto" w:fill="auto"/>
            <w:noWrap/>
            <w:vAlign w:val="bottom"/>
            <w:hideMark/>
          </w:tcPr>
          <w:p w14:paraId="6F722F26"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DÉPENSES/REVENUS </w:t>
            </w:r>
          </w:p>
        </w:tc>
        <w:tc>
          <w:tcPr>
            <w:tcW w:w="693" w:type="pct"/>
            <w:tcBorders>
              <w:top w:val="single" w:sz="8" w:space="0" w:color="auto"/>
              <w:left w:val="single" w:sz="8" w:space="0" w:color="auto"/>
              <w:bottom w:val="nil"/>
              <w:right w:val="single" w:sz="8" w:space="0" w:color="auto"/>
            </w:tcBorders>
            <w:shd w:val="clear" w:color="auto" w:fill="auto"/>
            <w:noWrap/>
            <w:vAlign w:val="bottom"/>
            <w:hideMark/>
          </w:tcPr>
          <w:p w14:paraId="0A87C217" w14:textId="77777777" w:rsidR="007F6BD4" w:rsidRPr="00BB4145" w:rsidRDefault="007F6BD4" w:rsidP="00A2337F">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APPROUVÉ </w:t>
            </w:r>
          </w:p>
        </w:tc>
        <w:tc>
          <w:tcPr>
            <w:tcW w:w="944" w:type="pct"/>
            <w:tcBorders>
              <w:top w:val="single" w:sz="8" w:space="0" w:color="auto"/>
              <w:left w:val="single" w:sz="8" w:space="0" w:color="auto"/>
              <w:bottom w:val="nil"/>
              <w:right w:val="single" w:sz="8" w:space="0" w:color="auto"/>
            </w:tcBorders>
            <w:shd w:val="clear" w:color="auto" w:fill="auto"/>
            <w:noWrap/>
            <w:vAlign w:val="bottom"/>
            <w:hideMark/>
          </w:tcPr>
          <w:p w14:paraId="152D9472"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POURCENTAGE</w:t>
            </w:r>
          </w:p>
        </w:tc>
        <w:tc>
          <w:tcPr>
            <w:tcW w:w="1027" w:type="pct"/>
            <w:tcBorders>
              <w:top w:val="single" w:sz="8" w:space="0" w:color="auto"/>
              <w:left w:val="nil"/>
              <w:bottom w:val="nil"/>
              <w:right w:val="single" w:sz="8" w:space="0" w:color="auto"/>
            </w:tcBorders>
            <w:shd w:val="clear" w:color="auto" w:fill="auto"/>
            <w:noWrap/>
            <w:vAlign w:val="bottom"/>
            <w:hideMark/>
          </w:tcPr>
          <w:p w14:paraId="10A493B6"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POURCENTAGE</w:t>
            </w:r>
          </w:p>
        </w:tc>
      </w:tr>
      <w:tr w:rsidR="007F6BD4" w:rsidRPr="00BB4145" w14:paraId="21325892" w14:textId="77777777" w:rsidTr="00BB4145">
        <w:trPr>
          <w:trHeight w:val="288"/>
        </w:trPr>
        <w:tc>
          <w:tcPr>
            <w:tcW w:w="2336" w:type="pct"/>
            <w:tcBorders>
              <w:top w:val="nil"/>
              <w:left w:val="single" w:sz="8" w:space="0" w:color="auto"/>
              <w:bottom w:val="nil"/>
              <w:right w:val="single" w:sz="8" w:space="0" w:color="auto"/>
            </w:tcBorders>
            <w:shd w:val="clear" w:color="auto" w:fill="auto"/>
            <w:noWrap/>
            <w:vAlign w:val="bottom"/>
            <w:hideMark/>
          </w:tcPr>
          <w:p w14:paraId="282F23F1"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CATÉGORIE </w:t>
            </w:r>
          </w:p>
        </w:tc>
        <w:tc>
          <w:tcPr>
            <w:tcW w:w="693" w:type="pct"/>
            <w:tcBorders>
              <w:top w:val="nil"/>
              <w:left w:val="single" w:sz="8" w:space="0" w:color="auto"/>
              <w:bottom w:val="nil"/>
              <w:right w:val="single" w:sz="8" w:space="0" w:color="auto"/>
            </w:tcBorders>
            <w:shd w:val="clear" w:color="auto" w:fill="auto"/>
            <w:noWrap/>
            <w:vAlign w:val="bottom"/>
            <w:hideMark/>
          </w:tcPr>
          <w:p w14:paraId="33829E82" w14:textId="77777777" w:rsidR="007F6BD4" w:rsidRPr="00BB4145" w:rsidRDefault="007F6BD4" w:rsidP="00A2337F">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BUDGET</w:t>
            </w:r>
          </w:p>
        </w:tc>
        <w:tc>
          <w:tcPr>
            <w:tcW w:w="944" w:type="pct"/>
            <w:tcBorders>
              <w:top w:val="nil"/>
              <w:left w:val="single" w:sz="8" w:space="0" w:color="auto"/>
              <w:bottom w:val="nil"/>
              <w:right w:val="single" w:sz="8" w:space="0" w:color="auto"/>
            </w:tcBorders>
            <w:shd w:val="clear" w:color="auto" w:fill="auto"/>
            <w:noWrap/>
            <w:vAlign w:val="bottom"/>
            <w:hideMark/>
          </w:tcPr>
          <w:p w14:paraId="35079F6B"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DU TOTAL</w:t>
            </w:r>
          </w:p>
        </w:tc>
        <w:tc>
          <w:tcPr>
            <w:tcW w:w="1027" w:type="pct"/>
            <w:tcBorders>
              <w:top w:val="nil"/>
              <w:left w:val="nil"/>
              <w:bottom w:val="nil"/>
              <w:right w:val="single" w:sz="8" w:space="0" w:color="auto"/>
            </w:tcBorders>
            <w:shd w:val="clear" w:color="auto" w:fill="auto"/>
            <w:noWrap/>
            <w:vAlign w:val="bottom"/>
            <w:hideMark/>
          </w:tcPr>
          <w:p w14:paraId="007B9C93"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DU</w:t>
            </w:r>
          </w:p>
        </w:tc>
      </w:tr>
      <w:tr w:rsidR="007F6BD4" w:rsidRPr="00BB4145" w14:paraId="607AEB1B" w14:textId="77777777" w:rsidTr="00BB4145">
        <w:trPr>
          <w:trHeight w:val="288"/>
        </w:trPr>
        <w:tc>
          <w:tcPr>
            <w:tcW w:w="2336" w:type="pct"/>
            <w:tcBorders>
              <w:top w:val="nil"/>
              <w:left w:val="single" w:sz="8" w:space="0" w:color="auto"/>
              <w:bottom w:val="nil"/>
              <w:right w:val="single" w:sz="8" w:space="0" w:color="auto"/>
            </w:tcBorders>
            <w:shd w:val="clear" w:color="auto" w:fill="auto"/>
            <w:noWrap/>
            <w:vAlign w:val="bottom"/>
            <w:hideMark/>
          </w:tcPr>
          <w:p w14:paraId="237C901D"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93" w:type="pct"/>
            <w:tcBorders>
              <w:top w:val="nil"/>
              <w:left w:val="single" w:sz="8" w:space="0" w:color="auto"/>
              <w:bottom w:val="nil"/>
              <w:right w:val="single" w:sz="8" w:space="0" w:color="auto"/>
            </w:tcBorders>
            <w:shd w:val="clear" w:color="auto" w:fill="auto"/>
            <w:noWrap/>
            <w:vAlign w:val="bottom"/>
            <w:hideMark/>
          </w:tcPr>
          <w:p w14:paraId="7CB17AEA" w14:textId="77777777" w:rsidR="007F6BD4" w:rsidRPr="00BB4145" w:rsidRDefault="007F6BD4" w:rsidP="00A2337F">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944" w:type="pct"/>
            <w:tcBorders>
              <w:top w:val="nil"/>
              <w:left w:val="single" w:sz="8" w:space="0" w:color="auto"/>
              <w:bottom w:val="nil"/>
              <w:right w:val="single" w:sz="8" w:space="0" w:color="auto"/>
            </w:tcBorders>
            <w:shd w:val="clear" w:color="auto" w:fill="auto"/>
            <w:noWrap/>
            <w:vAlign w:val="bottom"/>
            <w:hideMark/>
          </w:tcPr>
          <w:p w14:paraId="3FC56B6A"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BUDGET</w:t>
            </w:r>
          </w:p>
        </w:tc>
        <w:tc>
          <w:tcPr>
            <w:tcW w:w="1027" w:type="pct"/>
            <w:tcBorders>
              <w:top w:val="nil"/>
              <w:left w:val="nil"/>
              <w:bottom w:val="nil"/>
              <w:right w:val="single" w:sz="8" w:space="0" w:color="auto"/>
            </w:tcBorders>
            <w:shd w:val="clear" w:color="auto" w:fill="auto"/>
            <w:noWrap/>
            <w:vAlign w:val="bottom"/>
            <w:hideMark/>
          </w:tcPr>
          <w:p w14:paraId="13B6A23E"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MEMBRE</w:t>
            </w:r>
          </w:p>
        </w:tc>
      </w:tr>
      <w:tr w:rsidR="007F6BD4" w:rsidRPr="00BB4145" w14:paraId="53929226" w14:textId="77777777" w:rsidTr="00BB4145">
        <w:trPr>
          <w:trHeight w:val="288"/>
        </w:trPr>
        <w:tc>
          <w:tcPr>
            <w:tcW w:w="2336" w:type="pct"/>
            <w:tcBorders>
              <w:top w:val="nil"/>
              <w:left w:val="single" w:sz="8" w:space="0" w:color="auto"/>
              <w:bottom w:val="nil"/>
              <w:right w:val="single" w:sz="8" w:space="0" w:color="auto"/>
            </w:tcBorders>
            <w:shd w:val="clear" w:color="auto" w:fill="auto"/>
            <w:noWrap/>
            <w:vAlign w:val="bottom"/>
            <w:hideMark/>
          </w:tcPr>
          <w:p w14:paraId="669A48B1"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93" w:type="pct"/>
            <w:tcBorders>
              <w:top w:val="nil"/>
              <w:left w:val="single" w:sz="8" w:space="0" w:color="auto"/>
              <w:bottom w:val="nil"/>
              <w:right w:val="single" w:sz="8" w:space="0" w:color="auto"/>
            </w:tcBorders>
            <w:shd w:val="clear" w:color="auto" w:fill="auto"/>
            <w:noWrap/>
            <w:vAlign w:val="bottom"/>
            <w:hideMark/>
          </w:tcPr>
          <w:p w14:paraId="47E39EFE" w14:textId="77777777" w:rsidR="007F6BD4" w:rsidRPr="00BB4145" w:rsidRDefault="007F6BD4" w:rsidP="00A2337F">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2022-2023</w:t>
            </w:r>
          </w:p>
        </w:tc>
        <w:tc>
          <w:tcPr>
            <w:tcW w:w="944" w:type="pct"/>
            <w:tcBorders>
              <w:top w:val="nil"/>
              <w:left w:val="single" w:sz="8" w:space="0" w:color="auto"/>
              <w:bottom w:val="nil"/>
              <w:right w:val="single" w:sz="8" w:space="0" w:color="auto"/>
            </w:tcBorders>
            <w:shd w:val="clear" w:color="auto" w:fill="auto"/>
            <w:noWrap/>
            <w:vAlign w:val="bottom"/>
            <w:hideMark/>
          </w:tcPr>
          <w:p w14:paraId="0257574F"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 </w:t>
            </w:r>
          </w:p>
        </w:tc>
        <w:tc>
          <w:tcPr>
            <w:tcW w:w="1027" w:type="pct"/>
            <w:tcBorders>
              <w:top w:val="nil"/>
              <w:left w:val="nil"/>
              <w:bottom w:val="nil"/>
              <w:right w:val="single" w:sz="8" w:space="0" w:color="auto"/>
            </w:tcBorders>
            <w:shd w:val="clear" w:color="auto" w:fill="auto"/>
            <w:noWrap/>
            <w:vAlign w:val="bottom"/>
            <w:hideMark/>
          </w:tcPr>
          <w:p w14:paraId="6BBD2DCA"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CONTRIBUTIONS</w:t>
            </w:r>
          </w:p>
        </w:tc>
      </w:tr>
      <w:tr w:rsidR="007F6BD4" w:rsidRPr="00BB4145" w14:paraId="4918B18E" w14:textId="77777777" w:rsidTr="00BB4145">
        <w:trPr>
          <w:trHeight w:val="288"/>
        </w:trPr>
        <w:tc>
          <w:tcPr>
            <w:tcW w:w="2336" w:type="pct"/>
            <w:tcBorders>
              <w:top w:val="nil"/>
              <w:left w:val="single" w:sz="8" w:space="0" w:color="auto"/>
              <w:bottom w:val="single" w:sz="8" w:space="0" w:color="auto"/>
              <w:right w:val="single" w:sz="8" w:space="0" w:color="auto"/>
            </w:tcBorders>
            <w:shd w:val="clear" w:color="auto" w:fill="auto"/>
            <w:noWrap/>
            <w:vAlign w:val="bottom"/>
            <w:hideMark/>
          </w:tcPr>
          <w:p w14:paraId="38FD9EA3"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93" w:type="pct"/>
            <w:tcBorders>
              <w:top w:val="nil"/>
              <w:left w:val="single" w:sz="8" w:space="0" w:color="auto"/>
              <w:bottom w:val="single" w:sz="8" w:space="0" w:color="auto"/>
              <w:right w:val="single" w:sz="8" w:space="0" w:color="auto"/>
            </w:tcBorders>
            <w:shd w:val="clear" w:color="auto" w:fill="auto"/>
            <w:noWrap/>
            <w:vAlign w:val="bottom"/>
            <w:hideMark/>
          </w:tcPr>
          <w:p w14:paraId="74BB9D17" w14:textId="77777777" w:rsidR="007F6BD4" w:rsidRPr="00BB4145" w:rsidRDefault="007F6BD4" w:rsidP="00A2337F">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N$ </w:t>
            </w:r>
          </w:p>
        </w:tc>
        <w:tc>
          <w:tcPr>
            <w:tcW w:w="944" w:type="pct"/>
            <w:tcBorders>
              <w:top w:val="nil"/>
              <w:left w:val="single" w:sz="8" w:space="0" w:color="auto"/>
              <w:bottom w:val="single" w:sz="8" w:space="0" w:color="auto"/>
              <w:right w:val="single" w:sz="8" w:space="0" w:color="auto"/>
            </w:tcBorders>
            <w:shd w:val="clear" w:color="auto" w:fill="auto"/>
            <w:noWrap/>
            <w:vAlign w:val="bottom"/>
            <w:hideMark/>
          </w:tcPr>
          <w:p w14:paraId="5C867F4E" w14:textId="77777777" w:rsidR="007F6BD4" w:rsidRPr="00BB4145" w:rsidRDefault="007F6BD4" w:rsidP="00A2337F">
            <w:pPr>
              <w:spacing w:after="0" w:line="240" w:lineRule="auto"/>
              <w:jc w:val="center"/>
              <w:rPr>
                <w:rFonts w:ascii="Arial Narrow" w:eastAsia="Times New Roman" w:hAnsi="Arial Narrow" w:cs="Calibri"/>
                <w:color w:val="000000"/>
                <w:sz w:val="20"/>
                <w:szCs w:val="20"/>
              </w:rPr>
            </w:pPr>
            <w:r w:rsidRPr="00BB4145">
              <w:rPr>
                <w:rFonts w:ascii="Arial Narrow" w:hAnsi="Arial Narrow"/>
                <w:color w:val="000000"/>
                <w:sz w:val="20"/>
                <w:szCs w:val="20"/>
              </w:rPr>
              <w:t>%</w:t>
            </w:r>
          </w:p>
        </w:tc>
        <w:tc>
          <w:tcPr>
            <w:tcW w:w="1027" w:type="pct"/>
            <w:tcBorders>
              <w:top w:val="nil"/>
              <w:left w:val="nil"/>
              <w:bottom w:val="single" w:sz="8" w:space="0" w:color="auto"/>
              <w:right w:val="single" w:sz="8" w:space="0" w:color="auto"/>
            </w:tcBorders>
            <w:shd w:val="clear" w:color="auto" w:fill="auto"/>
            <w:noWrap/>
            <w:vAlign w:val="bottom"/>
            <w:hideMark/>
          </w:tcPr>
          <w:p w14:paraId="2ECEA83B" w14:textId="77777777" w:rsidR="007F6BD4" w:rsidRPr="00BB4145" w:rsidRDefault="007F6BD4" w:rsidP="00A2337F">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w:t>
            </w:r>
          </w:p>
        </w:tc>
      </w:tr>
      <w:tr w:rsidR="007F6BD4" w:rsidRPr="00BB4145" w14:paraId="43BDF772" w14:textId="77777777" w:rsidTr="00BB4145">
        <w:trPr>
          <w:trHeight w:val="288"/>
        </w:trPr>
        <w:tc>
          <w:tcPr>
            <w:tcW w:w="2336" w:type="pct"/>
            <w:tcBorders>
              <w:top w:val="nil"/>
              <w:left w:val="single" w:sz="8" w:space="0" w:color="auto"/>
              <w:bottom w:val="dashed" w:sz="4" w:space="0" w:color="auto"/>
              <w:right w:val="single" w:sz="8" w:space="0" w:color="auto"/>
            </w:tcBorders>
            <w:shd w:val="clear" w:color="auto" w:fill="auto"/>
            <w:noWrap/>
            <w:vAlign w:val="bottom"/>
            <w:hideMark/>
          </w:tcPr>
          <w:p w14:paraId="5360716C"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REVENU </w:t>
            </w:r>
          </w:p>
        </w:tc>
        <w:tc>
          <w:tcPr>
            <w:tcW w:w="693" w:type="pct"/>
            <w:tcBorders>
              <w:top w:val="nil"/>
              <w:left w:val="single" w:sz="8" w:space="0" w:color="auto"/>
              <w:bottom w:val="dotted" w:sz="4" w:space="0" w:color="auto"/>
              <w:right w:val="single" w:sz="8" w:space="0" w:color="auto"/>
            </w:tcBorders>
            <w:shd w:val="clear" w:color="auto" w:fill="auto"/>
            <w:noWrap/>
            <w:vAlign w:val="bottom"/>
            <w:hideMark/>
          </w:tcPr>
          <w:p w14:paraId="35EC1819" w14:textId="77777777" w:rsidR="007F6BD4" w:rsidRPr="00BB4145" w:rsidRDefault="007F6BD4" w:rsidP="00A2337F">
            <w:pPr>
              <w:spacing w:after="0" w:line="240" w:lineRule="auto"/>
              <w:rPr>
                <w:rFonts w:ascii="Arial Narrow" w:eastAsia="Times New Roman" w:hAnsi="Arial Narrow" w:cs="Calibri"/>
                <w:sz w:val="20"/>
                <w:szCs w:val="20"/>
              </w:rPr>
            </w:pPr>
            <w:r w:rsidRPr="00BB4145">
              <w:rPr>
                <w:rFonts w:ascii="Arial Narrow" w:hAnsi="Arial Narrow"/>
                <w:sz w:val="20"/>
                <w:szCs w:val="20"/>
              </w:rPr>
              <w:t> </w:t>
            </w:r>
          </w:p>
        </w:tc>
        <w:tc>
          <w:tcPr>
            <w:tcW w:w="944" w:type="pct"/>
            <w:tcBorders>
              <w:top w:val="single" w:sz="8" w:space="0" w:color="auto"/>
              <w:left w:val="single" w:sz="8" w:space="0" w:color="auto"/>
              <w:bottom w:val="single" w:sz="4" w:space="0" w:color="auto"/>
              <w:right w:val="nil"/>
            </w:tcBorders>
            <w:shd w:val="clear" w:color="auto" w:fill="auto"/>
            <w:noWrap/>
            <w:vAlign w:val="bottom"/>
            <w:hideMark/>
          </w:tcPr>
          <w:p w14:paraId="3D654515"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 </w:t>
            </w:r>
          </w:p>
        </w:tc>
        <w:tc>
          <w:tcPr>
            <w:tcW w:w="1027"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11813D6" w14:textId="77777777" w:rsidR="007F6BD4" w:rsidRPr="00BB4145" w:rsidRDefault="007F6BD4" w:rsidP="00A2337F">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w:t>
            </w:r>
          </w:p>
        </w:tc>
      </w:tr>
      <w:tr w:rsidR="007F6BD4" w:rsidRPr="00BB4145" w14:paraId="1C2CC249" w14:textId="77777777" w:rsidTr="00BB4145">
        <w:trPr>
          <w:trHeight w:val="288"/>
        </w:trPr>
        <w:tc>
          <w:tcPr>
            <w:tcW w:w="2336" w:type="pct"/>
            <w:tcBorders>
              <w:top w:val="nil"/>
              <w:left w:val="single" w:sz="8" w:space="0" w:color="auto"/>
              <w:bottom w:val="dashed" w:sz="4" w:space="0" w:color="auto"/>
              <w:right w:val="single" w:sz="8" w:space="0" w:color="auto"/>
            </w:tcBorders>
            <w:shd w:val="clear" w:color="auto" w:fill="auto"/>
            <w:noWrap/>
            <w:vAlign w:val="bottom"/>
            <w:hideMark/>
          </w:tcPr>
          <w:p w14:paraId="69CAB03F"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Cotisations obligatoires annuelles </w:t>
            </w:r>
          </w:p>
        </w:tc>
        <w:tc>
          <w:tcPr>
            <w:tcW w:w="693" w:type="pct"/>
            <w:tcBorders>
              <w:top w:val="nil"/>
              <w:left w:val="single" w:sz="8" w:space="0" w:color="auto"/>
              <w:bottom w:val="dotted" w:sz="4" w:space="0" w:color="auto"/>
              <w:right w:val="single" w:sz="8" w:space="0" w:color="auto"/>
            </w:tcBorders>
            <w:shd w:val="clear" w:color="auto" w:fill="auto"/>
            <w:noWrap/>
            <w:vAlign w:val="bottom"/>
            <w:hideMark/>
          </w:tcPr>
          <w:p w14:paraId="1FD846F1"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21148050 </w:t>
            </w:r>
          </w:p>
        </w:tc>
        <w:tc>
          <w:tcPr>
            <w:tcW w:w="944" w:type="pct"/>
            <w:tcBorders>
              <w:top w:val="nil"/>
              <w:left w:val="single" w:sz="8" w:space="0" w:color="auto"/>
              <w:bottom w:val="single" w:sz="4" w:space="0" w:color="auto"/>
              <w:right w:val="nil"/>
            </w:tcBorders>
            <w:shd w:val="clear" w:color="auto" w:fill="auto"/>
            <w:noWrap/>
            <w:vAlign w:val="bottom"/>
            <w:hideMark/>
          </w:tcPr>
          <w:p w14:paraId="47264E29"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41%</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23916718" w14:textId="77777777" w:rsidR="007F6BD4" w:rsidRPr="00BB4145" w:rsidRDefault="007F6BD4" w:rsidP="00A2337F">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w:t>
            </w:r>
          </w:p>
        </w:tc>
      </w:tr>
      <w:tr w:rsidR="007F6BD4" w:rsidRPr="00BB4145" w14:paraId="48AB5E56" w14:textId="77777777" w:rsidTr="00BB4145">
        <w:trPr>
          <w:trHeight w:val="288"/>
        </w:trPr>
        <w:tc>
          <w:tcPr>
            <w:tcW w:w="2336" w:type="pct"/>
            <w:tcBorders>
              <w:top w:val="nil"/>
              <w:left w:val="single" w:sz="8" w:space="0" w:color="auto"/>
              <w:bottom w:val="dashed" w:sz="4" w:space="0" w:color="auto"/>
              <w:right w:val="single" w:sz="8" w:space="0" w:color="auto"/>
            </w:tcBorders>
            <w:shd w:val="clear" w:color="auto" w:fill="auto"/>
            <w:noWrap/>
            <w:vAlign w:val="bottom"/>
            <w:hideMark/>
          </w:tcPr>
          <w:p w14:paraId="7C2637B1"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Intérêts à recevoir </w:t>
            </w:r>
          </w:p>
        </w:tc>
        <w:tc>
          <w:tcPr>
            <w:tcW w:w="693" w:type="pct"/>
            <w:tcBorders>
              <w:top w:val="nil"/>
              <w:left w:val="single" w:sz="8" w:space="0" w:color="auto"/>
              <w:bottom w:val="dotted" w:sz="4" w:space="0" w:color="auto"/>
              <w:right w:val="single" w:sz="8" w:space="0" w:color="auto"/>
            </w:tcBorders>
            <w:shd w:val="clear" w:color="auto" w:fill="auto"/>
            <w:noWrap/>
            <w:vAlign w:val="bottom"/>
            <w:hideMark/>
          </w:tcPr>
          <w:p w14:paraId="613384F3"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180000 </w:t>
            </w:r>
          </w:p>
        </w:tc>
        <w:tc>
          <w:tcPr>
            <w:tcW w:w="944" w:type="pct"/>
            <w:tcBorders>
              <w:top w:val="nil"/>
              <w:left w:val="single" w:sz="8" w:space="0" w:color="auto"/>
              <w:bottom w:val="single" w:sz="4" w:space="0" w:color="auto"/>
              <w:right w:val="nil"/>
            </w:tcBorders>
            <w:shd w:val="clear" w:color="auto" w:fill="auto"/>
            <w:noWrap/>
            <w:vAlign w:val="bottom"/>
            <w:hideMark/>
          </w:tcPr>
          <w:p w14:paraId="10803DAA"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0%</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22CA5F01"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1%</w:t>
            </w:r>
          </w:p>
        </w:tc>
      </w:tr>
      <w:tr w:rsidR="007F6BD4" w:rsidRPr="00BB4145" w14:paraId="43975003" w14:textId="77777777" w:rsidTr="00BB4145">
        <w:trPr>
          <w:trHeight w:val="288"/>
        </w:trPr>
        <w:tc>
          <w:tcPr>
            <w:tcW w:w="2336" w:type="pct"/>
            <w:tcBorders>
              <w:top w:val="nil"/>
              <w:left w:val="single" w:sz="8" w:space="0" w:color="auto"/>
              <w:bottom w:val="dashed" w:sz="4" w:space="0" w:color="auto"/>
              <w:right w:val="single" w:sz="8" w:space="0" w:color="auto"/>
            </w:tcBorders>
            <w:shd w:val="clear" w:color="auto" w:fill="auto"/>
            <w:noWrap/>
            <w:vAlign w:val="bottom"/>
            <w:hideMark/>
          </w:tcPr>
          <w:p w14:paraId="714EF330"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Autres recettes </w:t>
            </w:r>
          </w:p>
        </w:tc>
        <w:tc>
          <w:tcPr>
            <w:tcW w:w="693" w:type="pct"/>
            <w:tcBorders>
              <w:top w:val="nil"/>
              <w:left w:val="single" w:sz="8" w:space="0" w:color="auto"/>
              <w:bottom w:val="dotted" w:sz="4" w:space="0" w:color="auto"/>
              <w:right w:val="single" w:sz="8" w:space="0" w:color="auto"/>
            </w:tcBorders>
            <w:shd w:val="clear" w:color="auto" w:fill="auto"/>
            <w:noWrap/>
            <w:vAlign w:val="bottom"/>
            <w:hideMark/>
          </w:tcPr>
          <w:p w14:paraId="7CD4727E"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4213104 </w:t>
            </w:r>
          </w:p>
        </w:tc>
        <w:tc>
          <w:tcPr>
            <w:tcW w:w="944" w:type="pct"/>
            <w:tcBorders>
              <w:top w:val="nil"/>
              <w:left w:val="single" w:sz="8" w:space="0" w:color="auto"/>
              <w:bottom w:val="single" w:sz="4" w:space="0" w:color="auto"/>
              <w:right w:val="nil"/>
            </w:tcBorders>
            <w:shd w:val="clear" w:color="auto" w:fill="auto"/>
            <w:noWrap/>
            <w:vAlign w:val="bottom"/>
            <w:hideMark/>
          </w:tcPr>
          <w:p w14:paraId="7D3947ED"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8%</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19894E8E"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20%</w:t>
            </w:r>
          </w:p>
        </w:tc>
      </w:tr>
      <w:tr w:rsidR="007F6BD4" w:rsidRPr="00BB4145" w14:paraId="43421821" w14:textId="77777777" w:rsidTr="00BB4145">
        <w:trPr>
          <w:trHeight w:val="288"/>
        </w:trPr>
        <w:tc>
          <w:tcPr>
            <w:tcW w:w="2336" w:type="pct"/>
            <w:tcBorders>
              <w:top w:val="nil"/>
              <w:left w:val="single" w:sz="8" w:space="0" w:color="auto"/>
              <w:bottom w:val="dashed" w:sz="4" w:space="0" w:color="auto"/>
              <w:right w:val="single" w:sz="8" w:space="0" w:color="auto"/>
            </w:tcBorders>
            <w:shd w:val="clear" w:color="auto" w:fill="auto"/>
            <w:noWrap/>
            <w:vAlign w:val="bottom"/>
            <w:hideMark/>
          </w:tcPr>
          <w:p w14:paraId="1EE5664C"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Financement provenant du projet SDSR de la Suède </w:t>
            </w:r>
          </w:p>
        </w:tc>
        <w:tc>
          <w:tcPr>
            <w:tcW w:w="693" w:type="pct"/>
            <w:tcBorders>
              <w:top w:val="nil"/>
              <w:left w:val="single" w:sz="8" w:space="0" w:color="auto"/>
              <w:bottom w:val="dotted" w:sz="4" w:space="0" w:color="auto"/>
              <w:right w:val="single" w:sz="8" w:space="0" w:color="auto"/>
            </w:tcBorders>
            <w:shd w:val="clear" w:color="auto" w:fill="auto"/>
            <w:noWrap/>
            <w:vAlign w:val="bottom"/>
            <w:hideMark/>
          </w:tcPr>
          <w:p w14:paraId="619237F7"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23 220 330 </w:t>
            </w:r>
          </w:p>
        </w:tc>
        <w:tc>
          <w:tcPr>
            <w:tcW w:w="944" w:type="pct"/>
            <w:tcBorders>
              <w:top w:val="nil"/>
              <w:left w:val="single" w:sz="8" w:space="0" w:color="auto"/>
              <w:bottom w:val="single" w:sz="4" w:space="0" w:color="auto"/>
              <w:right w:val="nil"/>
            </w:tcBorders>
            <w:shd w:val="clear" w:color="auto" w:fill="auto"/>
            <w:noWrap/>
            <w:vAlign w:val="bottom"/>
            <w:hideMark/>
          </w:tcPr>
          <w:p w14:paraId="4179EE13"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45%</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7DAF2597"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110%</w:t>
            </w:r>
          </w:p>
        </w:tc>
      </w:tr>
      <w:tr w:rsidR="007F6BD4" w:rsidRPr="00BB4145" w14:paraId="2456DC51" w14:textId="77777777" w:rsidTr="00BB4145">
        <w:trPr>
          <w:trHeight w:val="315"/>
        </w:trPr>
        <w:tc>
          <w:tcPr>
            <w:tcW w:w="2336" w:type="pct"/>
            <w:tcBorders>
              <w:top w:val="nil"/>
              <w:left w:val="single" w:sz="8" w:space="0" w:color="auto"/>
              <w:bottom w:val="dashed" w:sz="4" w:space="0" w:color="auto"/>
              <w:right w:val="single" w:sz="8" w:space="0" w:color="auto"/>
            </w:tcBorders>
            <w:shd w:val="clear" w:color="auto" w:fill="auto"/>
            <w:noWrap/>
            <w:vAlign w:val="bottom"/>
            <w:hideMark/>
          </w:tcPr>
          <w:p w14:paraId="59A470A5"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Financement provenant d'autres bailleurs de fonds </w:t>
            </w:r>
          </w:p>
        </w:tc>
        <w:tc>
          <w:tcPr>
            <w:tcW w:w="693" w:type="pct"/>
            <w:tcBorders>
              <w:top w:val="nil"/>
              <w:left w:val="single" w:sz="8" w:space="0" w:color="auto"/>
              <w:bottom w:val="dotted" w:sz="4" w:space="0" w:color="auto"/>
              <w:right w:val="single" w:sz="8" w:space="0" w:color="auto"/>
            </w:tcBorders>
            <w:shd w:val="clear" w:color="auto" w:fill="auto"/>
            <w:noWrap/>
            <w:vAlign w:val="bottom"/>
            <w:hideMark/>
          </w:tcPr>
          <w:p w14:paraId="14824ECC"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2 661 458 </w:t>
            </w:r>
          </w:p>
        </w:tc>
        <w:tc>
          <w:tcPr>
            <w:tcW w:w="944" w:type="pct"/>
            <w:tcBorders>
              <w:top w:val="nil"/>
              <w:left w:val="single" w:sz="8" w:space="0" w:color="auto"/>
              <w:bottom w:val="single" w:sz="4" w:space="0" w:color="auto"/>
              <w:right w:val="nil"/>
            </w:tcBorders>
            <w:shd w:val="clear" w:color="auto" w:fill="auto"/>
            <w:noWrap/>
            <w:vAlign w:val="bottom"/>
            <w:hideMark/>
          </w:tcPr>
          <w:p w14:paraId="6615AE51"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5%</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68CD3AD5"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13%</w:t>
            </w:r>
          </w:p>
        </w:tc>
      </w:tr>
      <w:tr w:rsidR="007F6BD4" w:rsidRPr="00BB4145" w14:paraId="0308197E" w14:textId="77777777" w:rsidTr="00BB4145">
        <w:trPr>
          <w:trHeight w:val="315"/>
        </w:trPr>
        <w:tc>
          <w:tcPr>
            <w:tcW w:w="2336" w:type="pct"/>
            <w:tcBorders>
              <w:top w:val="nil"/>
              <w:left w:val="single" w:sz="8" w:space="0" w:color="auto"/>
              <w:bottom w:val="nil"/>
              <w:right w:val="single" w:sz="8" w:space="0" w:color="auto"/>
            </w:tcBorders>
            <w:shd w:val="clear" w:color="auto" w:fill="auto"/>
            <w:noWrap/>
            <w:vAlign w:val="bottom"/>
            <w:hideMark/>
          </w:tcPr>
          <w:p w14:paraId="334EC839"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lastRenderedPageBreak/>
              <w:t> </w:t>
            </w:r>
          </w:p>
        </w:tc>
        <w:tc>
          <w:tcPr>
            <w:tcW w:w="693" w:type="pct"/>
            <w:tcBorders>
              <w:top w:val="nil"/>
              <w:left w:val="single" w:sz="8" w:space="0" w:color="auto"/>
              <w:bottom w:val="nil"/>
              <w:right w:val="single" w:sz="8" w:space="0" w:color="auto"/>
            </w:tcBorders>
            <w:shd w:val="clear" w:color="auto" w:fill="auto"/>
            <w:noWrap/>
            <w:vAlign w:val="bottom"/>
            <w:hideMark/>
          </w:tcPr>
          <w:p w14:paraId="70640068"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944" w:type="pct"/>
            <w:tcBorders>
              <w:top w:val="nil"/>
              <w:left w:val="single" w:sz="8" w:space="0" w:color="auto"/>
              <w:bottom w:val="single" w:sz="8" w:space="0" w:color="auto"/>
              <w:right w:val="nil"/>
            </w:tcBorders>
            <w:shd w:val="clear" w:color="auto" w:fill="auto"/>
            <w:noWrap/>
            <w:vAlign w:val="bottom"/>
            <w:hideMark/>
          </w:tcPr>
          <w:p w14:paraId="47707D7B"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 </w:t>
            </w:r>
          </w:p>
        </w:tc>
        <w:tc>
          <w:tcPr>
            <w:tcW w:w="1027" w:type="pct"/>
            <w:tcBorders>
              <w:top w:val="nil"/>
              <w:left w:val="single" w:sz="8" w:space="0" w:color="auto"/>
              <w:bottom w:val="single" w:sz="8" w:space="0" w:color="auto"/>
              <w:right w:val="single" w:sz="8" w:space="0" w:color="auto"/>
            </w:tcBorders>
            <w:shd w:val="clear" w:color="auto" w:fill="auto"/>
            <w:noWrap/>
            <w:vAlign w:val="bottom"/>
            <w:hideMark/>
          </w:tcPr>
          <w:p w14:paraId="418AC082"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 </w:t>
            </w:r>
          </w:p>
        </w:tc>
      </w:tr>
      <w:tr w:rsidR="007F6BD4" w:rsidRPr="00BB4145" w14:paraId="2BE059A8" w14:textId="77777777" w:rsidTr="00BB4145">
        <w:trPr>
          <w:trHeight w:val="300"/>
        </w:trPr>
        <w:tc>
          <w:tcPr>
            <w:tcW w:w="2336"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68C69737"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REVENU TOTAL </w:t>
            </w:r>
          </w:p>
        </w:tc>
        <w:tc>
          <w:tcPr>
            <w:tcW w:w="693" w:type="pct"/>
            <w:tcBorders>
              <w:top w:val="single" w:sz="8" w:space="0" w:color="auto"/>
              <w:left w:val="single" w:sz="8" w:space="0" w:color="auto"/>
              <w:bottom w:val="nil"/>
              <w:right w:val="single" w:sz="8" w:space="0" w:color="auto"/>
            </w:tcBorders>
            <w:shd w:val="clear" w:color="000000" w:fill="BFBFBF"/>
            <w:noWrap/>
            <w:vAlign w:val="bottom"/>
            <w:hideMark/>
          </w:tcPr>
          <w:p w14:paraId="25A40BC6" w14:textId="77777777" w:rsidR="007F6BD4" w:rsidRPr="00BB4145" w:rsidRDefault="007F6BD4" w:rsidP="00A2337F">
            <w:pPr>
              <w:spacing w:after="0" w:line="240" w:lineRule="auto"/>
              <w:rPr>
                <w:rFonts w:ascii="Arial Narrow" w:eastAsia="Times New Roman" w:hAnsi="Arial Narrow" w:cs="Calibri"/>
                <w:sz w:val="20"/>
                <w:szCs w:val="20"/>
              </w:rPr>
            </w:pPr>
            <w:r w:rsidRPr="00BB4145">
              <w:rPr>
                <w:rFonts w:ascii="Arial Narrow" w:hAnsi="Arial Narrow"/>
                <w:sz w:val="20"/>
                <w:szCs w:val="20"/>
              </w:rPr>
              <w:t xml:space="preserve">    51 422 942 </w:t>
            </w:r>
          </w:p>
        </w:tc>
        <w:tc>
          <w:tcPr>
            <w:tcW w:w="944" w:type="pct"/>
            <w:tcBorders>
              <w:top w:val="nil"/>
              <w:left w:val="single" w:sz="8" w:space="0" w:color="auto"/>
              <w:bottom w:val="single" w:sz="8" w:space="0" w:color="auto"/>
              <w:right w:val="nil"/>
            </w:tcBorders>
            <w:shd w:val="clear" w:color="000000" w:fill="BFBFBF"/>
            <w:noWrap/>
            <w:vAlign w:val="bottom"/>
            <w:hideMark/>
          </w:tcPr>
          <w:p w14:paraId="21647FE7"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 </w:t>
            </w:r>
          </w:p>
        </w:tc>
        <w:tc>
          <w:tcPr>
            <w:tcW w:w="1027" w:type="pct"/>
            <w:tcBorders>
              <w:top w:val="nil"/>
              <w:left w:val="single" w:sz="8" w:space="0" w:color="auto"/>
              <w:bottom w:val="single" w:sz="8" w:space="0" w:color="auto"/>
              <w:right w:val="single" w:sz="8" w:space="0" w:color="auto"/>
            </w:tcBorders>
            <w:shd w:val="clear" w:color="000000" w:fill="BFBFBF"/>
            <w:noWrap/>
            <w:vAlign w:val="bottom"/>
            <w:hideMark/>
          </w:tcPr>
          <w:p w14:paraId="278B73A5" w14:textId="77777777" w:rsidR="007F6BD4" w:rsidRPr="00BB4145" w:rsidRDefault="007F6BD4" w:rsidP="00A2337F">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w:t>
            </w:r>
          </w:p>
        </w:tc>
      </w:tr>
      <w:tr w:rsidR="007F6BD4" w:rsidRPr="00BB4145" w14:paraId="7CACF490" w14:textId="77777777" w:rsidTr="00BB4145">
        <w:trPr>
          <w:trHeight w:val="180"/>
        </w:trPr>
        <w:tc>
          <w:tcPr>
            <w:tcW w:w="2336" w:type="pct"/>
            <w:tcBorders>
              <w:top w:val="nil"/>
              <w:left w:val="single" w:sz="8" w:space="0" w:color="auto"/>
              <w:bottom w:val="nil"/>
              <w:right w:val="single" w:sz="8" w:space="0" w:color="auto"/>
            </w:tcBorders>
            <w:shd w:val="clear" w:color="auto" w:fill="auto"/>
            <w:noWrap/>
            <w:vAlign w:val="bottom"/>
            <w:hideMark/>
          </w:tcPr>
          <w:p w14:paraId="58DC5E44"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93" w:type="pct"/>
            <w:tcBorders>
              <w:top w:val="single" w:sz="8" w:space="0" w:color="auto"/>
              <w:left w:val="single" w:sz="8" w:space="0" w:color="auto"/>
              <w:bottom w:val="dotted" w:sz="4" w:space="0" w:color="auto"/>
              <w:right w:val="single" w:sz="8" w:space="0" w:color="auto"/>
            </w:tcBorders>
            <w:shd w:val="clear" w:color="auto" w:fill="auto"/>
            <w:noWrap/>
            <w:vAlign w:val="bottom"/>
            <w:hideMark/>
          </w:tcPr>
          <w:p w14:paraId="1919478C" w14:textId="77777777" w:rsidR="007F6BD4" w:rsidRPr="00BB4145" w:rsidRDefault="007F6BD4" w:rsidP="00A2337F">
            <w:pPr>
              <w:spacing w:after="0" w:line="240" w:lineRule="auto"/>
              <w:rPr>
                <w:rFonts w:ascii="Arial Narrow" w:eastAsia="Times New Roman" w:hAnsi="Arial Narrow" w:cs="Calibri"/>
                <w:sz w:val="20"/>
                <w:szCs w:val="20"/>
              </w:rPr>
            </w:pPr>
            <w:r w:rsidRPr="00BB4145">
              <w:rPr>
                <w:rFonts w:ascii="Arial Narrow" w:hAnsi="Arial Narrow"/>
                <w:sz w:val="20"/>
                <w:szCs w:val="20"/>
              </w:rPr>
              <w:t> </w:t>
            </w:r>
          </w:p>
        </w:tc>
        <w:tc>
          <w:tcPr>
            <w:tcW w:w="944" w:type="pct"/>
            <w:tcBorders>
              <w:top w:val="nil"/>
              <w:left w:val="single" w:sz="8" w:space="0" w:color="auto"/>
              <w:bottom w:val="single" w:sz="4" w:space="0" w:color="auto"/>
              <w:right w:val="nil"/>
            </w:tcBorders>
            <w:shd w:val="clear" w:color="auto" w:fill="auto"/>
            <w:noWrap/>
            <w:vAlign w:val="bottom"/>
            <w:hideMark/>
          </w:tcPr>
          <w:p w14:paraId="79DA8E76"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 </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50984572" w14:textId="77777777" w:rsidR="007F6BD4" w:rsidRPr="00BB4145" w:rsidRDefault="007F6BD4" w:rsidP="00A2337F">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w:t>
            </w:r>
          </w:p>
        </w:tc>
      </w:tr>
      <w:tr w:rsidR="007F6BD4" w:rsidRPr="00BB4145" w14:paraId="6B2AC82E" w14:textId="77777777" w:rsidTr="00BB4145">
        <w:trPr>
          <w:trHeight w:val="288"/>
        </w:trPr>
        <w:tc>
          <w:tcPr>
            <w:tcW w:w="2336"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122F2377"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FRAIS ADMINISTRATIFS GÉNÉRAUX </w:t>
            </w:r>
          </w:p>
        </w:tc>
        <w:tc>
          <w:tcPr>
            <w:tcW w:w="693"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3570361E"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2 705 558 </w:t>
            </w:r>
          </w:p>
        </w:tc>
        <w:tc>
          <w:tcPr>
            <w:tcW w:w="944" w:type="pct"/>
            <w:tcBorders>
              <w:top w:val="nil"/>
              <w:left w:val="single" w:sz="8" w:space="0" w:color="auto"/>
              <w:bottom w:val="single" w:sz="4" w:space="0" w:color="auto"/>
              <w:right w:val="nil"/>
            </w:tcBorders>
            <w:shd w:val="clear" w:color="auto" w:fill="auto"/>
            <w:noWrap/>
            <w:vAlign w:val="bottom"/>
            <w:hideMark/>
          </w:tcPr>
          <w:p w14:paraId="2CD8E4FB"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5%</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17D540FC"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13%</w:t>
            </w:r>
          </w:p>
        </w:tc>
      </w:tr>
      <w:tr w:rsidR="007F6BD4" w:rsidRPr="00BB4145" w14:paraId="2529F757" w14:textId="77777777" w:rsidTr="00BB4145">
        <w:trPr>
          <w:trHeight w:val="288"/>
        </w:trPr>
        <w:tc>
          <w:tcPr>
            <w:tcW w:w="2336" w:type="pct"/>
            <w:tcBorders>
              <w:top w:val="nil"/>
              <w:left w:val="single" w:sz="8" w:space="0" w:color="auto"/>
              <w:bottom w:val="single" w:sz="4" w:space="0" w:color="FF0000"/>
              <w:right w:val="single" w:sz="8" w:space="0" w:color="auto"/>
            </w:tcBorders>
            <w:shd w:val="clear" w:color="auto" w:fill="auto"/>
            <w:noWrap/>
            <w:vAlign w:val="bottom"/>
            <w:hideMark/>
          </w:tcPr>
          <w:p w14:paraId="634E753C"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EMOLUMENTS DU PERSONNEL </w:t>
            </w:r>
          </w:p>
        </w:tc>
        <w:tc>
          <w:tcPr>
            <w:tcW w:w="693"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3F4679F"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15 659 084 </w:t>
            </w:r>
          </w:p>
        </w:tc>
        <w:tc>
          <w:tcPr>
            <w:tcW w:w="944" w:type="pct"/>
            <w:tcBorders>
              <w:top w:val="nil"/>
              <w:left w:val="single" w:sz="8" w:space="0" w:color="auto"/>
              <w:bottom w:val="single" w:sz="4" w:space="0" w:color="auto"/>
              <w:right w:val="nil"/>
            </w:tcBorders>
            <w:shd w:val="clear" w:color="auto" w:fill="auto"/>
            <w:noWrap/>
            <w:vAlign w:val="bottom"/>
            <w:hideMark/>
          </w:tcPr>
          <w:p w14:paraId="62381D05"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30%</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1DBE35FD"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74%</w:t>
            </w:r>
          </w:p>
        </w:tc>
      </w:tr>
      <w:tr w:rsidR="007F6BD4" w:rsidRPr="00BB4145" w14:paraId="7BBE9280" w14:textId="77777777" w:rsidTr="00BB4145">
        <w:trPr>
          <w:trHeight w:val="288"/>
        </w:trPr>
        <w:tc>
          <w:tcPr>
            <w:tcW w:w="2336"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6028292"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Dépenses opérationnelles directes </w:t>
            </w:r>
          </w:p>
        </w:tc>
        <w:tc>
          <w:tcPr>
            <w:tcW w:w="693"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3957FD32"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4 301 600 </w:t>
            </w:r>
          </w:p>
        </w:tc>
        <w:tc>
          <w:tcPr>
            <w:tcW w:w="944" w:type="pct"/>
            <w:tcBorders>
              <w:top w:val="nil"/>
              <w:left w:val="single" w:sz="8" w:space="0" w:color="auto"/>
              <w:bottom w:val="single" w:sz="4" w:space="0" w:color="auto"/>
              <w:right w:val="nil"/>
            </w:tcBorders>
            <w:shd w:val="clear" w:color="auto" w:fill="auto"/>
            <w:noWrap/>
            <w:vAlign w:val="bottom"/>
            <w:hideMark/>
          </w:tcPr>
          <w:p w14:paraId="7F993F0D"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8%</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3514D866"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20%</w:t>
            </w:r>
          </w:p>
        </w:tc>
      </w:tr>
      <w:tr w:rsidR="007F6BD4" w:rsidRPr="00BB4145" w14:paraId="2D12F8E6" w14:textId="77777777" w:rsidTr="00BB4145">
        <w:trPr>
          <w:trHeight w:val="288"/>
        </w:trPr>
        <w:tc>
          <w:tcPr>
            <w:tcW w:w="2336"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9072359"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ACTIVITÉS DE PROGRAMME (financées par les bailleurs de fonds) </w:t>
            </w:r>
          </w:p>
        </w:tc>
        <w:tc>
          <w:tcPr>
            <w:tcW w:w="693"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01E3E813"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25 881 788 </w:t>
            </w:r>
          </w:p>
        </w:tc>
        <w:tc>
          <w:tcPr>
            <w:tcW w:w="944" w:type="pct"/>
            <w:tcBorders>
              <w:top w:val="nil"/>
              <w:left w:val="single" w:sz="8" w:space="0" w:color="auto"/>
              <w:bottom w:val="single" w:sz="4" w:space="0" w:color="auto"/>
              <w:right w:val="nil"/>
            </w:tcBorders>
            <w:shd w:val="clear" w:color="auto" w:fill="auto"/>
            <w:noWrap/>
            <w:vAlign w:val="bottom"/>
            <w:hideMark/>
          </w:tcPr>
          <w:p w14:paraId="1F4AD31B"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50%</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1491811D"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122%</w:t>
            </w:r>
          </w:p>
        </w:tc>
      </w:tr>
      <w:tr w:rsidR="007F6BD4" w:rsidRPr="00BB4145" w14:paraId="12B548F3" w14:textId="77777777" w:rsidTr="00BB4145">
        <w:trPr>
          <w:trHeight w:val="300"/>
        </w:trPr>
        <w:tc>
          <w:tcPr>
            <w:tcW w:w="2336" w:type="pct"/>
            <w:tcBorders>
              <w:top w:val="nil"/>
              <w:left w:val="single" w:sz="8" w:space="0" w:color="auto"/>
              <w:bottom w:val="single" w:sz="4" w:space="0" w:color="FF0000"/>
              <w:right w:val="single" w:sz="8" w:space="0" w:color="auto"/>
            </w:tcBorders>
            <w:shd w:val="clear" w:color="auto" w:fill="auto"/>
            <w:noWrap/>
            <w:vAlign w:val="bottom"/>
            <w:hideMark/>
          </w:tcPr>
          <w:p w14:paraId="4BE34E58"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AUTRES DÉPENSES NON RÉCURRENTES </w:t>
            </w:r>
          </w:p>
        </w:tc>
        <w:tc>
          <w:tcPr>
            <w:tcW w:w="693" w:type="pct"/>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6A41680C"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1 593 648 </w:t>
            </w:r>
          </w:p>
        </w:tc>
        <w:tc>
          <w:tcPr>
            <w:tcW w:w="944" w:type="pct"/>
            <w:tcBorders>
              <w:top w:val="nil"/>
              <w:left w:val="single" w:sz="8" w:space="0" w:color="auto"/>
              <w:bottom w:val="single" w:sz="4" w:space="0" w:color="auto"/>
              <w:right w:val="nil"/>
            </w:tcBorders>
            <w:shd w:val="clear" w:color="auto" w:fill="auto"/>
            <w:noWrap/>
            <w:vAlign w:val="bottom"/>
            <w:hideMark/>
          </w:tcPr>
          <w:p w14:paraId="6A418BA5"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3%</w:t>
            </w:r>
          </w:p>
        </w:tc>
        <w:tc>
          <w:tcPr>
            <w:tcW w:w="1027" w:type="pct"/>
            <w:tcBorders>
              <w:top w:val="nil"/>
              <w:left w:val="single" w:sz="8" w:space="0" w:color="auto"/>
              <w:bottom w:val="single" w:sz="4" w:space="0" w:color="auto"/>
              <w:right w:val="single" w:sz="8" w:space="0" w:color="auto"/>
            </w:tcBorders>
            <w:shd w:val="clear" w:color="auto" w:fill="auto"/>
            <w:noWrap/>
            <w:vAlign w:val="bottom"/>
            <w:hideMark/>
          </w:tcPr>
          <w:p w14:paraId="6F97195F"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8%</w:t>
            </w:r>
          </w:p>
        </w:tc>
      </w:tr>
      <w:tr w:rsidR="007F6BD4" w:rsidRPr="00BB4145" w14:paraId="4F221A1B" w14:textId="77777777" w:rsidTr="00BB4145">
        <w:trPr>
          <w:trHeight w:val="300"/>
        </w:trPr>
        <w:tc>
          <w:tcPr>
            <w:tcW w:w="2336"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4FBC5A6F"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DÉPENSES TOTALES </w:t>
            </w:r>
          </w:p>
        </w:tc>
        <w:tc>
          <w:tcPr>
            <w:tcW w:w="693"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07E62B18"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50 141 678 </w:t>
            </w:r>
          </w:p>
        </w:tc>
        <w:tc>
          <w:tcPr>
            <w:tcW w:w="944" w:type="pct"/>
            <w:tcBorders>
              <w:top w:val="single" w:sz="8" w:space="0" w:color="auto"/>
              <w:left w:val="single" w:sz="8" w:space="0" w:color="auto"/>
              <w:bottom w:val="single" w:sz="8" w:space="0" w:color="auto"/>
              <w:right w:val="nil"/>
            </w:tcBorders>
            <w:shd w:val="clear" w:color="000000" w:fill="BFBFBF"/>
            <w:noWrap/>
            <w:vAlign w:val="bottom"/>
            <w:hideMark/>
          </w:tcPr>
          <w:p w14:paraId="240FF83C"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98%</w:t>
            </w:r>
          </w:p>
        </w:tc>
        <w:tc>
          <w:tcPr>
            <w:tcW w:w="1027"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13B2D856"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237%</w:t>
            </w:r>
          </w:p>
        </w:tc>
      </w:tr>
      <w:tr w:rsidR="007F6BD4" w:rsidRPr="00BB4145" w14:paraId="587A6F20" w14:textId="77777777" w:rsidTr="00BB4145">
        <w:trPr>
          <w:trHeight w:val="300"/>
        </w:trPr>
        <w:tc>
          <w:tcPr>
            <w:tcW w:w="2336" w:type="pct"/>
            <w:tcBorders>
              <w:top w:val="nil"/>
              <w:left w:val="single" w:sz="8" w:space="0" w:color="auto"/>
              <w:bottom w:val="single" w:sz="8" w:space="0" w:color="auto"/>
              <w:right w:val="single" w:sz="8" w:space="0" w:color="auto"/>
            </w:tcBorders>
            <w:shd w:val="clear" w:color="auto" w:fill="auto"/>
            <w:noWrap/>
            <w:vAlign w:val="bottom"/>
            <w:hideMark/>
          </w:tcPr>
          <w:p w14:paraId="6A5066DB"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EXCÉDENT/(DÉFICIT) </w:t>
            </w:r>
          </w:p>
        </w:tc>
        <w:tc>
          <w:tcPr>
            <w:tcW w:w="693" w:type="pct"/>
            <w:tcBorders>
              <w:top w:val="nil"/>
              <w:left w:val="single" w:sz="8" w:space="0" w:color="auto"/>
              <w:bottom w:val="single" w:sz="8" w:space="0" w:color="auto"/>
              <w:right w:val="single" w:sz="8" w:space="0" w:color="auto"/>
            </w:tcBorders>
            <w:shd w:val="clear" w:color="auto" w:fill="auto"/>
            <w:noWrap/>
            <w:vAlign w:val="bottom"/>
            <w:hideMark/>
          </w:tcPr>
          <w:p w14:paraId="2986D2BA" w14:textId="77777777" w:rsidR="007F6BD4" w:rsidRPr="00BB4145" w:rsidRDefault="007F6BD4" w:rsidP="00A2337F">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1 281 264 </w:t>
            </w:r>
          </w:p>
        </w:tc>
        <w:tc>
          <w:tcPr>
            <w:tcW w:w="944" w:type="pct"/>
            <w:tcBorders>
              <w:top w:val="nil"/>
              <w:left w:val="single" w:sz="8" w:space="0" w:color="auto"/>
              <w:bottom w:val="single" w:sz="8" w:space="0" w:color="auto"/>
              <w:right w:val="nil"/>
            </w:tcBorders>
            <w:shd w:val="clear" w:color="auto" w:fill="auto"/>
            <w:noWrap/>
            <w:vAlign w:val="bottom"/>
            <w:hideMark/>
          </w:tcPr>
          <w:p w14:paraId="344EE404"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2%</w:t>
            </w:r>
          </w:p>
        </w:tc>
        <w:tc>
          <w:tcPr>
            <w:tcW w:w="1027" w:type="pct"/>
            <w:tcBorders>
              <w:top w:val="nil"/>
              <w:left w:val="single" w:sz="8" w:space="0" w:color="auto"/>
              <w:bottom w:val="single" w:sz="8" w:space="0" w:color="auto"/>
              <w:right w:val="single" w:sz="8" w:space="0" w:color="auto"/>
            </w:tcBorders>
            <w:shd w:val="clear" w:color="auto" w:fill="auto"/>
            <w:noWrap/>
            <w:vAlign w:val="bottom"/>
            <w:hideMark/>
          </w:tcPr>
          <w:p w14:paraId="518E3B01" w14:textId="77777777" w:rsidR="007F6BD4" w:rsidRPr="00BB4145" w:rsidRDefault="007F6BD4" w:rsidP="00A2337F">
            <w:pPr>
              <w:spacing w:after="0" w:line="240" w:lineRule="auto"/>
              <w:jc w:val="center"/>
              <w:rPr>
                <w:rFonts w:ascii="Arial Narrow" w:eastAsia="Times New Roman" w:hAnsi="Arial Narrow" w:cs="Calibri"/>
                <w:b/>
                <w:bCs/>
                <w:color w:val="000000"/>
                <w:sz w:val="20"/>
                <w:szCs w:val="20"/>
              </w:rPr>
            </w:pPr>
            <w:r w:rsidRPr="00BB4145">
              <w:rPr>
                <w:rFonts w:ascii="Arial Narrow" w:hAnsi="Arial Narrow"/>
                <w:b/>
                <w:color w:val="000000"/>
                <w:sz w:val="20"/>
                <w:szCs w:val="20"/>
              </w:rPr>
              <w:t>6%</w:t>
            </w:r>
          </w:p>
        </w:tc>
      </w:tr>
    </w:tbl>
    <w:p w14:paraId="6C060FB0" w14:textId="77777777" w:rsidR="007F6BD4" w:rsidRDefault="007F6BD4" w:rsidP="007F6BD4">
      <w:pPr>
        <w:jc w:val="both"/>
        <w:rPr>
          <w:rFonts w:ascii="Bookman Old Style" w:hAnsi="Bookman Old Style"/>
          <w:sz w:val="24"/>
          <w:szCs w:val="24"/>
        </w:rPr>
      </w:pPr>
    </w:p>
    <w:p w14:paraId="3F94D6D0" w14:textId="4459D05B" w:rsidR="007F6BD4" w:rsidRDefault="009944B2" w:rsidP="009944B2">
      <w:pPr>
        <w:ind w:left="720" w:hanging="720"/>
        <w:jc w:val="both"/>
        <w:rPr>
          <w:rFonts w:ascii="Bookman Old Style" w:hAnsi="Bookman Old Style"/>
          <w:sz w:val="24"/>
          <w:szCs w:val="24"/>
        </w:rPr>
      </w:pPr>
      <w:r>
        <w:rPr>
          <w:rFonts w:ascii="Bookman Old Style" w:hAnsi="Bookman Old Style"/>
          <w:sz w:val="24"/>
        </w:rPr>
        <w:t>1.7.1.</w:t>
      </w:r>
      <w:r>
        <w:rPr>
          <w:rFonts w:ascii="Bookman Old Style" w:hAnsi="Bookman Old Style"/>
          <w:sz w:val="24"/>
        </w:rPr>
        <w:tab/>
        <w:t>Les fonds provenant des bailleurs de fonds et des partenaires de coopération ont représenté 51 % du total des fonds pour le budget de l'exercice 2022/2023. Sur le budget total de N$ 51,42 millions, N$ 25,6 millions (51%) provenaient de sources externes, N$ 25,5 (49%) des contributions des membres et d'autres sources internes. Le financement provenant de la seule Suède (N$ 23,2 millions) s'est élevé à 110% des contributions obligatoires des membres (N$ 21,14 millions).</w:t>
      </w:r>
    </w:p>
    <w:p w14:paraId="4C01B76A" w14:textId="30A8908D" w:rsidR="007F6BD4" w:rsidRDefault="009944B2" w:rsidP="009944B2">
      <w:pPr>
        <w:ind w:left="720" w:hanging="720"/>
        <w:jc w:val="both"/>
        <w:rPr>
          <w:rFonts w:ascii="Bookman Old Style" w:hAnsi="Bookman Old Style"/>
          <w:sz w:val="24"/>
          <w:szCs w:val="24"/>
        </w:rPr>
      </w:pPr>
      <w:r>
        <w:rPr>
          <w:rFonts w:ascii="Bookman Old Style" w:hAnsi="Bookman Old Style"/>
          <w:sz w:val="24"/>
        </w:rPr>
        <w:t>1.7.2.</w:t>
      </w:r>
      <w:r>
        <w:rPr>
          <w:rFonts w:ascii="Bookman Old Style" w:hAnsi="Bookman Old Style"/>
          <w:sz w:val="24"/>
        </w:rPr>
        <w:tab/>
        <w:t xml:space="preserve">Le tableau ci-dessus montre également les dépenses en pourcentage du budget total, y compris les fonds des donateurs, et les dépenses en pourcentage du total des contributions des membres. Les émoluments du personnel représentent 74% du total des contributions des membres - ce montant ne comprend toutefois pas les salaires et les indemnités payables au personnel du projet et aux deux postes clés de directeur de la gouvernance d'entreprise et de secrétaire du comité et gestionnaire de programme (DGHR) qui sont subsumés dans le montant des activités de programme (financées par les donateurs) et s'élèvent à 5,5 millions de dollars namibiens par an. Sans le financement des bailleurs de fonds, le personnel du projet ne peut être pris en charge. En outre, à partir de l'exercice 2023, les deux postes clés devront être payés par les contributions des membres. </w:t>
      </w:r>
    </w:p>
    <w:p w14:paraId="78E62CC7" w14:textId="2E98601A" w:rsidR="007F6BD4" w:rsidRDefault="009944B2" w:rsidP="009944B2">
      <w:pPr>
        <w:ind w:left="720" w:hanging="720"/>
        <w:jc w:val="both"/>
        <w:rPr>
          <w:rFonts w:ascii="Bookman Old Style" w:hAnsi="Bookman Old Style"/>
          <w:sz w:val="24"/>
          <w:szCs w:val="24"/>
        </w:rPr>
      </w:pPr>
      <w:r>
        <w:rPr>
          <w:rFonts w:ascii="Bookman Old Style" w:hAnsi="Bookman Old Style"/>
          <w:sz w:val="24"/>
        </w:rPr>
        <w:t>1.7.3.</w:t>
      </w:r>
      <w:r>
        <w:rPr>
          <w:rFonts w:ascii="Bookman Old Style" w:hAnsi="Bookman Old Style"/>
          <w:sz w:val="24"/>
        </w:rPr>
        <w:tab/>
        <w:t xml:space="preserve">Le budget des activités de programme, qui concerne le financement provenant des bailleurs de fonds, s'est élevé à N$ 25,8 millions, soit 122 % des contributions des membres. Ce montant a couvert les réunions et les sessions conjointes des comités permanents et a permis aux réunions statutaires des comités permanents d'avoir lieu physiquement à Johannesbourg, en Afrique du Sud. </w:t>
      </w:r>
    </w:p>
    <w:p w14:paraId="3150D53D" w14:textId="4F3F2654" w:rsidR="007F6BD4" w:rsidRDefault="009944B2" w:rsidP="009944B2">
      <w:pPr>
        <w:ind w:left="720" w:hanging="720"/>
        <w:jc w:val="both"/>
        <w:rPr>
          <w:rFonts w:ascii="Bookman Old Style" w:hAnsi="Bookman Old Style"/>
          <w:sz w:val="24"/>
          <w:szCs w:val="24"/>
        </w:rPr>
      </w:pPr>
      <w:r>
        <w:rPr>
          <w:rFonts w:ascii="Bookman Old Style" w:hAnsi="Bookman Old Style"/>
          <w:sz w:val="24"/>
        </w:rPr>
        <w:t>1.7.4.</w:t>
      </w:r>
      <w:r>
        <w:rPr>
          <w:rFonts w:ascii="Bookman Old Style" w:hAnsi="Bookman Old Style"/>
          <w:sz w:val="24"/>
        </w:rPr>
        <w:tab/>
      </w:r>
      <w:r>
        <w:rPr>
          <w:rFonts w:ascii="Bookman Old Style" w:hAnsi="Bookman Old Style"/>
          <w:i/>
          <w:sz w:val="24"/>
        </w:rPr>
        <w:t xml:space="preserve">Le tableau ci-dessus montre qu'en l'absence du soutien des bailleurs de fonds et d'autres sources de revenus, le financement par les seules </w:t>
      </w:r>
      <w:r>
        <w:rPr>
          <w:rFonts w:ascii="Bookman Old Style" w:hAnsi="Bookman Old Style"/>
          <w:i/>
          <w:sz w:val="24"/>
        </w:rPr>
        <w:lastRenderedPageBreak/>
        <w:t xml:space="preserve">contributions obligatoires des membres est nettement insuffisant, avec seulement 26 % des contributions disponibles pour les activités (74 % ayant été alloués aux salaires).  À cet égard, la proposition de budget pour 2023/2024 prévoit que les parlements membres </w:t>
      </w:r>
      <w:r>
        <w:rPr>
          <w:rFonts w:ascii="Bookman Old Style" w:hAnsi="Bookman Old Style"/>
          <w:b/>
          <w:bCs/>
          <w:i/>
          <w:sz w:val="24"/>
        </w:rPr>
        <w:t>doivent</w:t>
      </w:r>
      <w:r>
        <w:rPr>
          <w:rFonts w:ascii="Bookman Old Style" w:hAnsi="Bookman Old Style"/>
          <w:i/>
          <w:sz w:val="24"/>
        </w:rPr>
        <w:t xml:space="preserve"> désormais couvrir les frais de participation de leurs membres aux activités du Forum.</w:t>
      </w:r>
      <w:r>
        <w:rPr>
          <w:rFonts w:ascii="Bookman Old Style" w:hAnsi="Bookman Old Style"/>
          <w:sz w:val="24"/>
        </w:rPr>
        <w:t xml:space="preserve"> </w:t>
      </w:r>
    </w:p>
    <w:p w14:paraId="05116440" w14:textId="369214C1" w:rsidR="007F6BD4" w:rsidRPr="00D86572" w:rsidRDefault="00671528" w:rsidP="00671528">
      <w:pPr>
        <w:ind w:left="720" w:hanging="720"/>
        <w:jc w:val="both"/>
        <w:rPr>
          <w:rFonts w:ascii="Bookman Old Style" w:hAnsi="Bookman Old Style"/>
          <w:sz w:val="24"/>
          <w:szCs w:val="24"/>
        </w:rPr>
      </w:pPr>
      <w:r>
        <w:rPr>
          <w:rFonts w:ascii="Bookman Old Style" w:hAnsi="Bookman Old Style"/>
          <w:sz w:val="24"/>
        </w:rPr>
        <w:t>1.7.5.</w:t>
      </w:r>
      <w:r>
        <w:rPr>
          <w:rFonts w:ascii="Bookman Old Style" w:hAnsi="Bookman Old Style"/>
          <w:sz w:val="24"/>
        </w:rPr>
        <w:tab/>
        <w:t xml:space="preserve">Par ailleurs, pour le budget proposé pour 2023/2024, le Forum devra se rabattre sur les bénéfices non distribués pour financer certaines de ses activités, les parlements membres continuant à couvrir le coût de la participation de ses membres. </w:t>
      </w:r>
    </w:p>
    <w:p w14:paraId="347C2E79" w14:textId="77777777" w:rsidR="00153A43" w:rsidRDefault="00153A43" w:rsidP="007F6BD4">
      <w:pPr>
        <w:pStyle w:val="Body"/>
        <w:rPr>
          <w:rFonts w:ascii="Bookman Old Style" w:hAnsi="Bookman Old Style"/>
          <w:b/>
          <w:bCs/>
          <w:sz w:val="24"/>
          <w:szCs w:val="24"/>
        </w:rPr>
      </w:pPr>
    </w:p>
    <w:p w14:paraId="480D0D02" w14:textId="37B8D65A" w:rsidR="00D44753" w:rsidRDefault="00153A43" w:rsidP="00D44753">
      <w:pPr>
        <w:pStyle w:val="Body"/>
        <w:numPr>
          <w:ilvl w:val="1"/>
          <w:numId w:val="26"/>
        </w:numPr>
        <w:ind w:left="567" w:hanging="567"/>
        <w:rPr>
          <w:rFonts w:ascii="Bookman Old Style" w:hAnsi="Bookman Old Style"/>
          <w:b/>
          <w:sz w:val="24"/>
        </w:rPr>
      </w:pPr>
      <w:r>
        <w:rPr>
          <w:rFonts w:ascii="Bookman Old Style" w:hAnsi="Bookman Old Style"/>
          <w:b/>
          <w:sz w:val="24"/>
        </w:rPr>
        <w:t xml:space="preserve">Éléments de viabilité avec le financement des donateurs </w:t>
      </w:r>
    </w:p>
    <w:p w14:paraId="2BDC1839" w14:textId="3ADCEA15" w:rsidR="007F6BD4" w:rsidRPr="00784249" w:rsidRDefault="00153A43" w:rsidP="00D44753">
      <w:pPr>
        <w:pStyle w:val="Body"/>
        <w:ind w:left="567"/>
        <w:rPr>
          <w:rFonts w:ascii="Bookman Old Style" w:eastAsia="Avenir Heavy" w:hAnsi="Bookman Old Style" w:cs="Avenir Heavy"/>
          <w:b/>
          <w:bCs/>
          <w:sz w:val="24"/>
          <w:szCs w:val="24"/>
        </w:rPr>
      </w:pPr>
      <w:r>
        <w:rPr>
          <w:rFonts w:ascii="Bookman Old Style" w:hAnsi="Bookman Old Style"/>
          <w:b/>
          <w:sz w:val="24"/>
        </w:rPr>
        <w:t>(</w:t>
      </w:r>
      <w:proofErr w:type="gramStart"/>
      <w:r>
        <w:rPr>
          <w:rFonts w:ascii="Bookman Old Style" w:hAnsi="Bookman Old Style"/>
          <w:b/>
          <w:sz w:val="24"/>
        </w:rPr>
        <w:t>au</w:t>
      </w:r>
      <w:proofErr w:type="gramEnd"/>
      <w:r>
        <w:rPr>
          <w:rFonts w:ascii="Bookman Old Style" w:hAnsi="Bookman Old Style"/>
          <w:b/>
          <w:sz w:val="24"/>
        </w:rPr>
        <w:t xml:space="preserve"> 30 septembre 2022)</w:t>
      </w:r>
    </w:p>
    <w:p w14:paraId="359A04CB" w14:textId="77777777" w:rsidR="007F6BD4" w:rsidRPr="00D86572" w:rsidRDefault="007F6BD4" w:rsidP="007F6BD4">
      <w:pPr>
        <w:pStyle w:val="Body"/>
        <w:ind w:left="720"/>
        <w:rPr>
          <w:rFonts w:ascii="Bookman Old Style" w:hAnsi="Bookman Old Style"/>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004C7F"/>
        <w:tblLook w:val="04A0" w:firstRow="1" w:lastRow="0" w:firstColumn="1" w:lastColumn="0" w:noHBand="0" w:noVBand="1"/>
      </w:tblPr>
      <w:tblGrid>
        <w:gridCol w:w="2461"/>
        <w:gridCol w:w="2201"/>
        <w:gridCol w:w="1757"/>
        <w:gridCol w:w="2645"/>
      </w:tblGrid>
      <w:tr w:rsidR="007F6BD4" w:rsidRPr="00BB4145" w14:paraId="76865945" w14:textId="77777777" w:rsidTr="00BB4145">
        <w:trPr>
          <w:trHeight w:val="484"/>
          <w:tblHeader/>
        </w:trPr>
        <w:tc>
          <w:tcPr>
            <w:tcW w:w="1358" w:type="pct"/>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70B6C186" w14:textId="77777777" w:rsidR="007F6BD4" w:rsidRPr="00BB4145" w:rsidRDefault="007F6BD4" w:rsidP="00A2337F">
            <w:pPr>
              <w:pStyle w:val="TableStyle3"/>
              <w:rPr>
                <w:rFonts w:ascii="Arial Narrow" w:hAnsi="Arial Narrow"/>
              </w:rPr>
            </w:pPr>
            <w:r w:rsidRPr="00BB4145">
              <w:rPr>
                <w:rFonts w:ascii="Arial Narrow" w:hAnsi="Arial Narrow"/>
              </w:rPr>
              <w:t>Source de revenus</w:t>
            </w:r>
          </w:p>
        </w:tc>
        <w:tc>
          <w:tcPr>
            <w:tcW w:w="1214" w:type="pct"/>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2E2B3375" w14:textId="77777777" w:rsidR="007F6BD4" w:rsidRPr="00BB4145" w:rsidRDefault="007F6BD4" w:rsidP="00A2337F">
            <w:pPr>
              <w:pStyle w:val="TableStyle3"/>
              <w:rPr>
                <w:rFonts w:ascii="Arial Narrow" w:hAnsi="Arial Narrow"/>
              </w:rPr>
            </w:pPr>
            <w:r w:rsidRPr="00BB4145">
              <w:rPr>
                <w:rFonts w:ascii="Arial Narrow" w:hAnsi="Arial Narrow"/>
              </w:rPr>
              <w:t xml:space="preserve">En ce qui concerne les éléments suivants </w:t>
            </w:r>
          </w:p>
        </w:tc>
        <w:tc>
          <w:tcPr>
            <w:tcW w:w="969" w:type="pct"/>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4A61DA0F" w14:textId="77777777" w:rsidR="007F6BD4" w:rsidRPr="00BB4145" w:rsidRDefault="007F6BD4" w:rsidP="00A2337F">
            <w:pPr>
              <w:pStyle w:val="TableStyle3"/>
              <w:rPr>
                <w:rFonts w:ascii="Arial Narrow" w:hAnsi="Arial Narrow"/>
              </w:rPr>
            </w:pPr>
            <w:r w:rsidRPr="00BB4145">
              <w:rPr>
                <w:rFonts w:ascii="Arial Narrow" w:hAnsi="Arial Narrow"/>
              </w:rPr>
              <w:t xml:space="preserve"> Contribution en % du coût total du Forum</w:t>
            </w:r>
          </w:p>
        </w:tc>
        <w:tc>
          <w:tcPr>
            <w:tcW w:w="1459" w:type="pct"/>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26F74106" w14:textId="50F57BE0" w:rsidR="007F6BD4" w:rsidRPr="00BB4145" w:rsidRDefault="007F6BD4" w:rsidP="00A2337F">
            <w:pPr>
              <w:pStyle w:val="TableStyle3"/>
              <w:rPr>
                <w:rFonts w:ascii="Arial Narrow" w:hAnsi="Arial Narrow"/>
              </w:rPr>
            </w:pPr>
            <w:r w:rsidRPr="00BB4145">
              <w:rPr>
                <w:rFonts w:ascii="Arial Narrow" w:hAnsi="Arial Narrow"/>
              </w:rPr>
              <w:t>Risques et observations</w:t>
            </w:r>
          </w:p>
        </w:tc>
      </w:tr>
      <w:tr w:rsidR="007F6BD4" w:rsidRPr="00BB4145" w14:paraId="301A93AA" w14:textId="77777777" w:rsidTr="00BB4145">
        <w:tblPrEx>
          <w:shd w:val="clear" w:color="auto" w:fill="FFFFFF"/>
        </w:tblPrEx>
        <w:trPr>
          <w:trHeight w:val="964"/>
        </w:trPr>
        <w:tc>
          <w:tcPr>
            <w:tcW w:w="1358" w:type="pct"/>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1BA0F5" w14:textId="77777777" w:rsidR="007F6BD4" w:rsidRPr="00BB4145" w:rsidRDefault="007F6BD4" w:rsidP="00A2337F">
            <w:pPr>
              <w:pStyle w:val="TableStyle2"/>
              <w:rPr>
                <w:rFonts w:ascii="Arial Narrow" w:hAnsi="Arial Narrow"/>
              </w:rPr>
            </w:pPr>
            <w:r w:rsidRPr="00BB4145">
              <w:rPr>
                <w:rFonts w:ascii="Arial Narrow" w:hAnsi="Arial Narrow"/>
                <w:b/>
              </w:rPr>
              <w:t xml:space="preserve">Contributions annuelles des parlements membres </w:t>
            </w:r>
          </w:p>
        </w:tc>
        <w:tc>
          <w:tcPr>
            <w:tcW w:w="1214" w:type="pct"/>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FA9845" w14:textId="77777777" w:rsidR="007F6BD4" w:rsidRPr="00BB4145" w:rsidRDefault="007F6BD4" w:rsidP="00A2337F">
            <w:pPr>
              <w:pStyle w:val="TableStyle2"/>
              <w:rPr>
                <w:rFonts w:ascii="Arial Narrow" w:hAnsi="Arial Narrow"/>
              </w:rPr>
            </w:pPr>
            <w:r w:rsidRPr="00BB4145">
              <w:rPr>
                <w:rFonts w:ascii="Arial Narrow" w:hAnsi="Arial Narrow"/>
              </w:rPr>
              <w:t>Coûts des salaires (2022/2023 : 74%</w:t>
            </w:r>
          </w:p>
          <w:p w14:paraId="61B04A8F" w14:textId="77777777" w:rsidR="007F6BD4" w:rsidRPr="00BB4145" w:rsidRDefault="007F6BD4" w:rsidP="00A2337F">
            <w:pPr>
              <w:pStyle w:val="TableStyle2"/>
              <w:rPr>
                <w:rFonts w:ascii="Arial Narrow" w:hAnsi="Arial Narrow"/>
              </w:rPr>
            </w:pPr>
            <w:r w:rsidRPr="00BB4145">
              <w:rPr>
                <w:rFonts w:ascii="Arial Narrow" w:hAnsi="Arial Narrow"/>
              </w:rPr>
              <w:t>Coûts opérationnels et administratifs : 26%</w:t>
            </w:r>
          </w:p>
        </w:tc>
        <w:tc>
          <w:tcPr>
            <w:tcW w:w="969" w:type="pct"/>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3293255" w14:textId="77777777" w:rsidR="007F6BD4" w:rsidRPr="00BB4145" w:rsidRDefault="007F6BD4" w:rsidP="00A2337F">
            <w:pPr>
              <w:pStyle w:val="TableStyle2"/>
              <w:rPr>
                <w:rFonts w:ascii="Arial Narrow" w:hAnsi="Arial Narrow"/>
              </w:rPr>
            </w:pPr>
            <w:r w:rsidRPr="00BB4145">
              <w:rPr>
                <w:rFonts w:ascii="Arial Narrow" w:hAnsi="Arial Narrow"/>
              </w:rPr>
              <w:t xml:space="preserve">43% </w:t>
            </w:r>
          </w:p>
        </w:tc>
        <w:tc>
          <w:tcPr>
            <w:tcW w:w="1459" w:type="pct"/>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E7CAD50" w14:textId="0D475AE6" w:rsidR="007F6BD4" w:rsidRPr="00BB4145" w:rsidRDefault="007F6BD4" w:rsidP="00A2337F">
            <w:pPr>
              <w:pStyle w:val="TableStyle2"/>
              <w:jc w:val="both"/>
              <w:rPr>
                <w:rFonts w:ascii="Arial Narrow" w:eastAsia="Arial Unicode MS" w:hAnsi="Arial Narrow" w:cs="Arial Unicode MS"/>
              </w:rPr>
            </w:pPr>
            <w:r w:rsidRPr="00BB4145">
              <w:rPr>
                <w:rFonts w:ascii="Arial Narrow" w:hAnsi="Arial Narrow"/>
              </w:rPr>
              <w:t>Risque : Les Parlements membres n'augmenteront pas leurs contributions annuelles. D'ici 2026, la facture salariale représentera à elle seule 99 % des contributions actuelles des membres.</w:t>
            </w:r>
          </w:p>
          <w:p w14:paraId="3011A603" w14:textId="77777777" w:rsidR="007F6BD4" w:rsidRPr="00BB4145" w:rsidRDefault="007F6BD4" w:rsidP="00A2337F">
            <w:pPr>
              <w:pStyle w:val="TableStyle2"/>
              <w:jc w:val="both"/>
              <w:rPr>
                <w:rFonts w:ascii="Arial Narrow" w:hAnsi="Arial Narrow"/>
              </w:rPr>
            </w:pPr>
            <w:r w:rsidRPr="00BB4145">
              <w:rPr>
                <w:rFonts w:ascii="Arial Narrow" w:hAnsi="Arial Narrow"/>
              </w:rPr>
              <w:t xml:space="preserve"> </w:t>
            </w:r>
          </w:p>
        </w:tc>
      </w:tr>
      <w:tr w:rsidR="007F6BD4" w:rsidRPr="00BB4145" w14:paraId="3CC8D16B" w14:textId="77777777" w:rsidTr="00BB4145">
        <w:tblPrEx>
          <w:shd w:val="clear" w:color="auto" w:fill="FFFFFF"/>
        </w:tblPrEx>
        <w:trPr>
          <w:trHeight w:val="1201"/>
        </w:trPr>
        <w:tc>
          <w:tcPr>
            <w:tcW w:w="1358"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069F9AAE" w14:textId="77777777" w:rsidR="007F6BD4" w:rsidRPr="00BB4145" w:rsidRDefault="007F6BD4" w:rsidP="00A2337F">
            <w:pPr>
              <w:pStyle w:val="TableStyle2"/>
              <w:rPr>
                <w:rFonts w:ascii="Arial Narrow" w:hAnsi="Arial Narrow"/>
              </w:rPr>
            </w:pPr>
            <w:r w:rsidRPr="00BB4145">
              <w:rPr>
                <w:rFonts w:ascii="Arial Narrow" w:hAnsi="Arial Narrow"/>
                <w:b/>
              </w:rPr>
              <w:t xml:space="preserve">Financement de la Suède </w:t>
            </w:r>
          </w:p>
        </w:tc>
        <w:tc>
          <w:tcPr>
            <w:tcW w:w="1214"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3FDC859" w14:textId="77777777" w:rsidR="007F6BD4" w:rsidRPr="00BB4145" w:rsidRDefault="007F6BD4" w:rsidP="00A2337F">
            <w:pPr>
              <w:pStyle w:val="TableStyle2"/>
              <w:rPr>
                <w:rFonts w:ascii="Arial Narrow" w:hAnsi="Arial Narrow"/>
              </w:rPr>
            </w:pPr>
            <w:r w:rsidRPr="00BB4145">
              <w:rPr>
                <w:rFonts w:ascii="Arial Narrow" w:hAnsi="Arial Narrow"/>
              </w:rPr>
              <w:t xml:space="preserve">Contribue aux coûts du programme qui comprennent les salaires du personnel sélectionné, les frais de déplacement, les coûts du matériel et la contribution aux frais généraux/administratifs. </w:t>
            </w:r>
          </w:p>
        </w:tc>
        <w:tc>
          <w:tcPr>
            <w:tcW w:w="96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29FBCE95" w14:textId="77777777" w:rsidR="007F6BD4" w:rsidRPr="00BB4145" w:rsidRDefault="007F6BD4" w:rsidP="00A2337F">
            <w:pPr>
              <w:pStyle w:val="TableStyle2"/>
              <w:rPr>
                <w:rFonts w:ascii="Arial Narrow" w:hAnsi="Arial Narrow"/>
              </w:rPr>
            </w:pPr>
            <w:r w:rsidRPr="00BB4145">
              <w:rPr>
                <w:rFonts w:ascii="Arial Narrow" w:hAnsi="Arial Narrow"/>
              </w:rPr>
              <w:t xml:space="preserve">40% </w:t>
            </w:r>
          </w:p>
        </w:tc>
        <w:tc>
          <w:tcPr>
            <w:tcW w:w="145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C30F236" w14:textId="6A1C2D57" w:rsidR="007F6BD4" w:rsidRPr="00BB4145" w:rsidRDefault="00932650" w:rsidP="00A2337F">
            <w:pPr>
              <w:pStyle w:val="TableStyle2"/>
              <w:rPr>
                <w:rFonts w:ascii="Arial Narrow" w:hAnsi="Arial Narrow"/>
              </w:rPr>
            </w:pPr>
            <w:r w:rsidRPr="00BB4145">
              <w:rPr>
                <w:rFonts w:ascii="Arial Narrow" w:hAnsi="Arial Narrow"/>
              </w:rPr>
              <w:t>Réalité : Le soutien financier permet de mobiliser d'autres sources de financement pour étendre et approfondir les impacts des programmes et des comités de la SADC PF. L'accord expire le 31 mars 2023</w:t>
            </w:r>
          </w:p>
        </w:tc>
      </w:tr>
      <w:tr w:rsidR="007F6BD4" w:rsidRPr="00BB4145" w14:paraId="060F9CAE" w14:textId="77777777" w:rsidTr="00BB4145">
        <w:tblPrEx>
          <w:shd w:val="clear" w:color="auto" w:fill="FFFFFF"/>
        </w:tblPrEx>
        <w:trPr>
          <w:trHeight w:val="719"/>
        </w:trPr>
        <w:tc>
          <w:tcPr>
            <w:tcW w:w="1358"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16BA80" w14:textId="77777777" w:rsidR="007F6BD4" w:rsidRPr="00BB4145" w:rsidRDefault="007F6BD4" w:rsidP="00A2337F">
            <w:pPr>
              <w:pStyle w:val="TableStyle2"/>
              <w:rPr>
                <w:rFonts w:ascii="Arial Narrow" w:hAnsi="Arial Narrow"/>
                <w:b/>
                <w:bCs/>
              </w:rPr>
            </w:pPr>
            <w:r w:rsidRPr="00BB4145">
              <w:rPr>
                <w:rFonts w:ascii="Arial Narrow" w:hAnsi="Arial Narrow"/>
                <w:b/>
              </w:rPr>
              <w:t>Austria AID Development Agreement # 81254007, administré par la GIZ</w:t>
            </w:r>
          </w:p>
          <w:p w14:paraId="25FDCF64" w14:textId="77777777" w:rsidR="007F6BD4" w:rsidRPr="00BB4145" w:rsidRDefault="007F6BD4" w:rsidP="00A2337F">
            <w:pPr>
              <w:pStyle w:val="TableStyle2"/>
              <w:rPr>
                <w:rFonts w:ascii="Arial Narrow" w:hAnsi="Arial Narrow"/>
                <w:b/>
                <w:bCs/>
              </w:rPr>
            </w:pPr>
            <w:r w:rsidRPr="00BB4145">
              <w:rPr>
                <w:rFonts w:ascii="Arial Narrow" w:hAnsi="Arial Narrow"/>
                <w:b/>
              </w:rPr>
              <w:t xml:space="preserve"> EUR 309 905</w:t>
            </w:r>
          </w:p>
        </w:tc>
        <w:tc>
          <w:tcPr>
            <w:tcW w:w="1214"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509F1CB" w14:textId="77777777" w:rsidR="007F6BD4" w:rsidRPr="00BB4145" w:rsidRDefault="007F6BD4" w:rsidP="00A2337F">
            <w:pPr>
              <w:pStyle w:val="TableStyle2"/>
              <w:rPr>
                <w:rFonts w:ascii="Arial Narrow" w:hAnsi="Arial Narrow"/>
              </w:rPr>
            </w:pPr>
            <w:r w:rsidRPr="00BB4145">
              <w:rPr>
                <w:rFonts w:ascii="Arial Narrow" w:hAnsi="Arial Narrow"/>
              </w:rPr>
              <w:t>Compensation de la consultation pour le soutien technique, la traduction, l'interprétation, la conférence, les frais de voyage et d'hébergement sur le genre et la responsabilité démocratique.</w:t>
            </w:r>
          </w:p>
        </w:tc>
        <w:tc>
          <w:tcPr>
            <w:tcW w:w="9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98DB0A5" w14:textId="77777777" w:rsidR="007F6BD4" w:rsidRPr="00BB4145" w:rsidRDefault="007F6BD4" w:rsidP="00A2337F">
            <w:pPr>
              <w:pStyle w:val="TableStyle2"/>
              <w:rPr>
                <w:rFonts w:ascii="Arial Narrow" w:eastAsia="Arial Unicode MS" w:hAnsi="Arial Narrow" w:cs="Arial Unicode MS"/>
              </w:rPr>
            </w:pPr>
            <w:r w:rsidRPr="00BB4145">
              <w:rPr>
                <w:rFonts w:ascii="Arial Narrow" w:hAnsi="Arial Narrow"/>
              </w:rPr>
              <w:t>11,5%</w:t>
            </w:r>
          </w:p>
          <w:p w14:paraId="0BBE70C1" w14:textId="77777777" w:rsidR="007F6BD4" w:rsidRPr="00BB4145" w:rsidRDefault="007F6BD4" w:rsidP="00A2337F">
            <w:pPr>
              <w:pStyle w:val="TableStyle2"/>
              <w:rPr>
                <w:rFonts w:ascii="Arial Narrow" w:hAnsi="Arial Narrow"/>
              </w:rPr>
            </w:pPr>
          </w:p>
        </w:tc>
        <w:tc>
          <w:tcPr>
            <w:tcW w:w="14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F8422E" w14:textId="2F1026B6" w:rsidR="007F6BD4" w:rsidRPr="00BB4145" w:rsidRDefault="00314A33" w:rsidP="00A2337F">
            <w:pPr>
              <w:pStyle w:val="TableStyle2"/>
              <w:rPr>
                <w:rFonts w:ascii="Arial Narrow" w:hAnsi="Arial Narrow"/>
              </w:rPr>
            </w:pPr>
            <w:r w:rsidRPr="00BB4145">
              <w:rPr>
                <w:rFonts w:ascii="Arial Narrow" w:hAnsi="Arial Narrow"/>
              </w:rPr>
              <w:t>Réalité : Le présent accord de subvention est en vigueur depuis le 10 mars 2020 et expire le 31 décembre 2022. Il n'y a actuellement aucune indication de prolongation.</w:t>
            </w:r>
          </w:p>
        </w:tc>
      </w:tr>
      <w:tr w:rsidR="007F6BD4" w:rsidRPr="00BB4145" w14:paraId="0B43669A" w14:textId="77777777" w:rsidTr="00BB4145">
        <w:tblPrEx>
          <w:shd w:val="clear" w:color="auto" w:fill="FFFFFF"/>
        </w:tblPrEx>
        <w:trPr>
          <w:trHeight w:val="1001"/>
        </w:trPr>
        <w:tc>
          <w:tcPr>
            <w:tcW w:w="1358"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1FFA7B02" w14:textId="77777777" w:rsidR="007F6BD4" w:rsidRPr="00BB4145" w:rsidRDefault="007F6BD4" w:rsidP="00A2337F">
            <w:pPr>
              <w:pStyle w:val="TableStyle2"/>
              <w:rPr>
                <w:rFonts w:ascii="Arial Narrow" w:hAnsi="Arial Narrow"/>
              </w:rPr>
            </w:pPr>
            <w:r w:rsidRPr="00BB4145">
              <w:rPr>
                <w:rFonts w:ascii="Arial Narrow" w:hAnsi="Arial Narrow"/>
                <w:b/>
              </w:rPr>
              <w:t xml:space="preserve">Parlements nationaux </w:t>
            </w:r>
          </w:p>
        </w:tc>
        <w:tc>
          <w:tcPr>
            <w:tcW w:w="1214"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674DAD41" w14:textId="77777777" w:rsidR="007F6BD4" w:rsidRPr="00BB4145" w:rsidRDefault="007F6BD4" w:rsidP="00A2337F">
            <w:pPr>
              <w:pStyle w:val="TableStyle2"/>
              <w:rPr>
                <w:rFonts w:ascii="Arial Narrow" w:hAnsi="Arial Narrow"/>
              </w:rPr>
            </w:pPr>
            <w:r w:rsidRPr="00BB4145">
              <w:rPr>
                <w:rFonts w:ascii="Arial Narrow" w:hAnsi="Arial Narrow"/>
              </w:rPr>
              <w:t>Les frais de voyage et de logement relatifs à l'observation des élections et à la participation à d'autres activités du Forum. La participation à l'Assemblée plénière - autres activités subventionnées ou entièrement couvertes par les parlements nationaux.</w:t>
            </w:r>
          </w:p>
          <w:p w14:paraId="29FC72ED" w14:textId="77777777" w:rsidR="007F6BD4" w:rsidRPr="00BB4145" w:rsidRDefault="007F6BD4" w:rsidP="00A2337F">
            <w:pPr>
              <w:pStyle w:val="TableStyle2"/>
              <w:rPr>
                <w:rFonts w:ascii="Arial Narrow" w:hAnsi="Arial Narrow"/>
              </w:rPr>
            </w:pPr>
          </w:p>
          <w:p w14:paraId="54D1BF8B" w14:textId="77777777" w:rsidR="007F6BD4" w:rsidRPr="00BB4145" w:rsidRDefault="007F6BD4" w:rsidP="00A2337F">
            <w:pPr>
              <w:pStyle w:val="TableStyle2"/>
              <w:rPr>
                <w:rFonts w:ascii="Arial Narrow" w:hAnsi="Arial Narrow"/>
              </w:rPr>
            </w:pPr>
            <w:r w:rsidRPr="00BB4145">
              <w:rPr>
                <w:rFonts w:ascii="Arial Narrow" w:hAnsi="Arial Narrow"/>
              </w:rPr>
              <w:t>Personnel détaché</w:t>
            </w:r>
          </w:p>
          <w:p w14:paraId="0DAE2259" w14:textId="77777777" w:rsidR="007F6BD4" w:rsidRPr="00BB4145" w:rsidRDefault="007F6BD4" w:rsidP="00A2337F">
            <w:pPr>
              <w:pStyle w:val="TableStyle2"/>
              <w:rPr>
                <w:rFonts w:ascii="Arial Narrow" w:hAnsi="Arial Narrow"/>
              </w:rPr>
            </w:pPr>
          </w:p>
          <w:p w14:paraId="6C68648E" w14:textId="77777777" w:rsidR="007F6BD4" w:rsidRPr="00BB4145" w:rsidRDefault="007F6BD4" w:rsidP="00A2337F">
            <w:pPr>
              <w:pStyle w:val="TableStyle2"/>
              <w:rPr>
                <w:rFonts w:ascii="Arial Narrow" w:hAnsi="Arial Narrow"/>
              </w:rPr>
            </w:pPr>
          </w:p>
        </w:tc>
        <w:tc>
          <w:tcPr>
            <w:tcW w:w="96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7BE68C93" w14:textId="77777777" w:rsidR="007F6BD4" w:rsidRPr="00BB4145" w:rsidRDefault="007F6BD4" w:rsidP="00A2337F">
            <w:pPr>
              <w:pStyle w:val="TableStyle2"/>
              <w:rPr>
                <w:rFonts w:ascii="Arial Narrow" w:hAnsi="Arial Narrow"/>
              </w:rPr>
            </w:pPr>
            <w:r w:rsidRPr="00BB4145">
              <w:rPr>
                <w:rFonts w:ascii="Arial Narrow" w:hAnsi="Arial Narrow"/>
              </w:rPr>
              <w:lastRenderedPageBreak/>
              <w:t>En nature</w:t>
            </w:r>
          </w:p>
        </w:tc>
        <w:tc>
          <w:tcPr>
            <w:tcW w:w="145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56ABE04F" w14:textId="77777777" w:rsidR="007F6BD4" w:rsidRPr="00BB4145" w:rsidRDefault="007F6BD4" w:rsidP="00A2337F">
            <w:pPr>
              <w:rPr>
                <w:rFonts w:ascii="Arial Narrow" w:hAnsi="Arial Narrow"/>
                <w:sz w:val="20"/>
                <w:szCs w:val="20"/>
              </w:rPr>
            </w:pPr>
            <w:r w:rsidRPr="00BB4145">
              <w:rPr>
                <w:rFonts w:ascii="Arial Narrow" w:hAnsi="Arial Narrow"/>
                <w:sz w:val="20"/>
                <w:szCs w:val="20"/>
              </w:rPr>
              <w:t xml:space="preserve">Il est de coutume que les parlements nationaux contribuent à leurs frais de voyage et d'hébergement pour le Comité exécutif et l'Assemblée plénière. Il n'existe cependant pas de fonds d'urgence pour permettre aux parlementaires, en particulier aux membres du Bureau, de se rendre à des événements au cas </w:t>
            </w:r>
            <w:r w:rsidRPr="00BB4145">
              <w:rPr>
                <w:rFonts w:ascii="Arial Narrow" w:hAnsi="Arial Narrow"/>
                <w:sz w:val="20"/>
                <w:szCs w:val="20"/>
              </w:rPr>
              <w:lastRenderedPageBreak/>
              <w:t xml:space="preserve">où, pour des raisons internes, leur parlement national ne pourrait pas les financer. </w:t>
            </w:r>
          </w:p>
          <w:p w14:paraId="1AC908C0" w14:textId="77777777" w:rsidR="007F6BD4" w:rsidRPr="00BB4145" w:rsidRDefault="007F6BD4" w:rsidP="00A2337F">
            <w:pPr>
              <w:rPr>
                <w:rFonts w:ascii="Arial Narrow" w:hAnsi="Arial Narrow"/>
                <w:sz w:val="20"/>
                <w:szCs w:val="20"/>
              </w:rPr>
            </w:pPr>
            <w:r w:rsidRPr="00BB4145">
              <w:rPr>
                <w:rFonts w:ascii="Arial Narrow" w:hAnsi="Arial Narrow"/>
                <w:sz w:val="20"/>
                <w:szCs w:val="20"/>
              </w:rPr>
              <w:t>Cela limite également la possibilité pour le Forum de tenir des réunions extraordinaires, car cela nécessitera des fonds supplémentaires de la part des parlements nationaux.</w:t>
            </w:r>
          </w:p>
          <w:p w14:paraId="2D615D42" w14:textId="77777777" w:rsidR="007F6BD4" w:rsidRPr="00BB4145" w:rsidRDefault="007F6BD4" w:rsidP="00A2337F">
            <w:pPr>
              <w:rPr>
                <w:rFonts w:ascii="Arial Narrow" w:hAnsi="Arial Narrow"/>
                <w:sz w:val="20"/>
                <w:szCs w:val="20"/>
              </w:rPr>
            </w:pPr>
            <w:r w:rsidRPr="00BB4145">
              <w:rPr>
                <w:rFonts w:ascii="Arial Narrow" w:hAnsi="Arial Narrow"/>
                <w:sz w:val="20"/>
                <w:szCs w:val="20"/>
              </w:rPr>
              <w:t>À l'avenir, en l'absence de financement des donateurs, les parlements devront également prendre en charge la participation de leurs membres aux réunions des comités permanents. Cela aura un impact négatif sur l'assiduité et nous pourrions avoir recours à des réunions/participation virtuelles.</w:t>
            </w:r>
          </w:p>
        </w:tc>
      </w:tr>
      <w:tr w:rsidR="007F6BD4" w:rsidRPr="00BB4145" w14:paraId="289C496F" w14:textId="77777777" w:rsidTr="00BB4145">
        <w:tblPrEx>
          <w:shd w:val="clear" w:color="auto" w:fill="FFFFFF"/>
        </w:tblPrEx>
        <w:trPr>
          <w:trHeight w:val="719"/>
        </w:trPr>
        <w:tc>
          <w:tcPr>
            <w:tcW w:w="1358"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3C3C935" w14:textId="77777777" w:rsidR="007F6BD4" w:rsidRPr="00BB4145" w:rsidRDefault="007F6BD4" w:rsidP="00A2337F">
            <w:pPr>
              <w:pStyle w:val="TableStyle2"/>
              <w:rPr>
                <w:rFonts w:ascii="Arial Narrow" w:hAnsi="Arial Narrow"/>
                <w:b/>
                <w:bCs/>
              </w:rPr>
            </w:pPr>
            <w:r w:rsidRPr="00BB4145">
              <w:rPr>
                <w:rFonts w:ascii="Arial Narrow" w:hAnsi="Arial Narrow"/>
                <w:b/>
              </w:rPr>
              <w:lastRenderedPageBreak/>
              <w:t xml:space="preserve">Renforcement de la redevabilité et de la surveillance dans les secteurs de la santé et de l'agriculture - bailleurs de fonds - soutien des donateurs à des programmes spécifiques </w:t>
            </w:r>
          </w:p>
          <w:p w14:paraId="790AD6FC" w14:textId="3DE3A487" w:rsidR="007F6BD4" w:rsidRPr="00BB4145" w:rsidRDefault="007F6BD4" w:rsidP="00A2337F">
            <w:pPr>
              <w:pStyle w:val="TableStyle2"/>
              <w:rPr>
                <w:rFonts w:ascii="Arial Narrow" w:hAnsi="Arial Narrow"/>
              </w:rPr>
            </w:pPr>
            <w:r w:rsidRPr="00BB4145">
              <w:rPr>
                <w:rFonts w:ascii="Arial Narrow" w:hAnsi="Arial Narrow"/>
              </w:rPr>
              <w:t>Actionaid (USD 158,19 (utilisé USD67,00,34)</w:t>
            </w:r>
          </w:p>
        </w:tc>
        <w:tc>
          <w:tcPr>
            <w:tcW w:w="1214"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E66E7E" w14:textId="77777777" w:rsidR="007F6BD4" w:rsidRPr="00BB4145" w:rsidRDefault="007F6BD4" w:rsidP="00A2337F">
            <w:pPr>
              <w:pStyle w:val="TableStyle2"/>
              <w:rPr>
                <w:rFonts w:ascii="Arial Narrow" w:hAnsi="Arial Narrow"/>
                <w:b/>
                <w:bCs/>
              </w:rPr>
            </w:pPr>
            <w:r w:rsidRPr="00BB4145">
              <w:rPr>
                <w:rFonts w:ascii="Arial Narrow" w:hAnsi="Arial Narrow"/>
                <w:b/>
              </w:rPr>
              <w:t xml:space="preserve">Ressources promises </w:t>
            </w:r>
          </w:p>
          <w:p w14:paraId="3629B5CF" w14:textId="77777777" w:rsidR="007F6BD4" w:rsidRPr="00BB4145" w:rsidRDefault="007F6BD4" w:rsidP="00A2337F">
            <w:pPr>
              <w:pStyle w:val="TableStyle2"/>
              <w:rPr>
                <w:rFonts w:ascii="Arial Narrow" w:hAnsi="Arial Narrow"/>
                <w:b/>
                <w:bCs/>
              </w:rPr>
            </w:pPr>
          </w:p>
          <w:p w14:paraId="79309E76" w14:textId="77777777" w:rsidR="007F6BD4" w:rsidRPr="00BB4145" w:rsidRDefault="007F6BD4" w:rsidP="00A2337F">
            <w:pPr>
              <w:pStyle w:val="TableStyle2"/>
              <w:rPr>
                <w:rFonts w:ascii="Arial Narrow" w:hAnsi="Arial Narrow"/>
                <w:lang w:val="en-US"/>
              </w:rPr>
            </w:pPr>
          </w:p>
        </w:tc>
        <w:tc>
          <w:tcPr>
            <w:tcW w:w="9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93C1405" w14:textId="77777777" w:rsidR="007F6BD4" w:rsidRPr="00BB4145" w:rsidRDefault="007F6BD4" w:rsidP="00A2337F">
            <w:pPr>
              <w:pBdr>
                <w:top w:val="nil"/>
                <w:left w:val="nil"/>
                <w:bottom w:val="nil"/>
                <w:right w:val="nil"/>
                <w:between w:val="nil"/>
                <w:bar w:val="nil"/>
              </w:pBdr>
              <w:jc w:val="both"/>
              <w:rPr>
                <w:rFonts w:ascii="Arial Narrow" w:hAnsi="Arial Narrow"/>
                <w:sz w:val="20"/>
                <w:szCs w:val="20"/>
              </w:rPr>
            </w:pPr>
          </w:p>
          <w:p w14:paraId="70D8E718" w14:textId="77777777" w:rsidR="007F6BD4" w:rsidRPr="00BB4145" w:rsidRDefault="007F6BD4" w:rsidP="00A2337F">
            <w:pPr>
              <w:pBdr>
                <w:top w:val="nil"/>
                <w:left w:val="nil"/>
                <w:bottom w:val="nil"/>
                <w:right w:val="nil"/>
                <w:between w:val="nil"/>
                <w:bar w:val="nil"/>
              </w:pBdr>
              <w:jc w:val="center"/>
              <w:rPr>
                <w:rFonts w:ascii="Arial Narrow" w:hAnsi="Arial Narrow"/>
                <w:sz w:val="20"/>
                <w:szCs w:val="20"/>
              </w:rPr>
            </w:pPr>
            <w:r w:rsidRPr="00BB4145">
              <w:rPr>
                <w:rFonts w:ascii="Arial Narrow" w:hAnsi="Arial Narrow"/>
                <w:sz w:val="20"/>
                <w:szCs w:val="20"/>
              </w:rPr>
              <w:t>2,5%</w:t>
            </w:r>
          </w:p>
        </w:tc>
        <w:tc>
          <w:tcPr>
            <w:tcW w:w="14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C267768" w14:textId="77777777" w:rsidR="007F6BD4" w:rsidRPr="00BB4145" w:rsidRDefault="007F6BD4" w:rsidP="00A2337F">
            <w:pPr>
              <w:pBdr>
                <w:top w:val="nil"/>
                <w:left w:val="nil"/>
                <w:bottom w:val="nil"/>
                <w:right w:val="nil"/>
                <w:between w:val="nil"/>
                <w:bar w:val="nil"/>
              </w:pBdr>
              <w:jc w:val="both"/>
              <w:rPr>
                <w:rFonts w:ascii="Arial Narrow" w:hAnsi="Arial Narrow"/>
                <w:sz w:val="20"/>
                <w:szCs w:val="20"/>
              </w:rPr>
            </w:pPr>
            <w:r w:rsidRPr="00BB4145">
              <w:rPr>
                <w:rFonts w:ascii="Arial Narrow" w:hAnsi="Arial Narrow"/>
                <w:sz w:val="20"/>
                <w:szCs w:val="20"/>
              </w:rPr>
              <w:t>Cette subvention fonctionne selon un mécanisme de prélèvement, au fur et à mesure que nous effectuons des dépenses.</w:t>
            </w:r>
          </w:p>
          <w:p w14:paraId="7ABFBC00" w14:textId="09F032BD" w:rsidR="007F6BD4" w:rsidRPr="00BB4145" w:rsidRDefault="000D1FDA" w:rsidP="00A2337F">
            <w:pPr>
              <w:pBdr>
                <w:top w:val="nil"/>
                <w:left w:val="nil"/>
                <w:bottom w:val="nil"/>
                <w:right w:val="nil"/>
                <w:between w:val="nil"/>
                <w:bar w:val="nil"/>
              </w:pBdr>
              <w:jc w:val="both"/>
              <w:rPr>
                <w:rFonts w:ascii="Arial Narrow" w:hAnsi="Arial Narrow"/>
                <w:sz w:val="20"/>
                <w:szCs w:val="20"/>
              </w:rPr>
            </w:pPr>
            <w:r w:rsidRPr="00BB4145">
              <w:rPr>
                <w:rFonts w:ascii="Arial Narrow" w:hAnsi="Arial Narrow"/>
                <w:sz w:val="20"/>
                <w:szCs w:val="20"/>
              </w:rPr>
              <w:t>La période s'étend d'août 2019 à juin 2023, sans indication de prolongation.</w:t>
            </w:r>
          </w:p>
        </w:tc>
      </w:tr>
      <w:tr w:rsidR="007F6BD4" w:rsidRPr="00BB4145" w14:paraId="53D6B458" w14:textId="77777777" w:rsidTr="00BB4145">
        <w:tblPrEx>
          <w:shd w:val="clear" w:color="auto" w:fill="FFFFFF"/>
        </w:tblPrEx>
        <w:trPr>
          <w:trHeight w:val="801"/>
        </w:trPr>
        <w:tc>
          <w:tcPr>
            <w:tcW w:w="1358"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0EB9DD80" w14:textId="77777777" w:rsidR="007F6BD4" w:rsidRPr="00BB4145" w:rsidRDefault="007F6BD4" w:rsidP="00A2337F">
            <w:pPr>
              <w:pStyle w:val="TableStyle2"/>
              <w:rPr>
                <w:rFonts w:ascii="Arial Narrow" w:hAnsi="Arial Narrow"/>
              </w:rPr>
            </w:pPr>
            <w:r w:rsidRPr="00BB4145">
              <w:rPr>
                <w:rFonts w:ascii="Arial Narrow" w:hAnsi="Arial Narrow"/>
                <w:b/>
              </w:rPr>
              <w:t xml:space="preserve">Accords de cofinancement avec les organisations de la société civile et d'autres institutions. </w:t>
            </w:r>
          </w:p>
        </w:tc>
        <w:tc>
          <w:tcPr>
            <w:tcW w:w="1214"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0B73377E" w14:textId="77777777" w:rsidR="007F6BD4" w:rsidRPr="00BB4145" w:rsidRDefault="007F6BD4" w:rsidP="00A2337F">
            <w:pPr>
              <w:pStyle w:val="TableStyle2"/>
              <w:rPr>
                <w:rFonts w:ascii="Arial Narrow" w:hAnsi="Arial Narrow"/>
              </w:rPr>
            </w:pPr>
            <w:r w:rsidRPr="00BB4145">
              <w:rPr>
                <w:rFonts w:ascii="Arial Narrow" w:hAnsi="Arial Narrow"/>
              </w:rPr>
              <w:t xml:space="preserve">Contributions conjointes à la fourniture de produits, à la facilitation de la formation sans frais pour le Forum et à d'autres activités. </w:t>
            </w:r>
          </w:p>
        </w:tc>
        <w:tc>
          <w:tcPr>
            <w:tcW w:w="96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5E2494E5" w14:textId="77777777" w:rsidR="007F6BD4" w:rsidRPr="00BB4145" w:rsidRDefault="007F6BD4" w:rsidP="00A2337F">
            <w:pPr>
              <w:pStyle w:val="TableStyle2"/>
              <w:rPr>
                <w:rFonts w:ascii="Arial Narrow" w:hAnsi="Arial Narrow"/>
              </w:rPr>
            </w:pPr>
            <w:r w:rsidRPr="00BB4145">
              <w:rPr>
                <w:rFonts w:ascii="Arial Narrow" w:hAnsi="Arial Narrow"/>
              </w:rPr>
              <w:t>1%</w:t>
            </w:r>
          </w:p>
        </w:tc>
        <w:tc>
          <w:tcPr>
            <w:tcW w:w="145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C70F0E7" w14:textId="77777777" w:rsidR="007F6BD4" w:rsidRPr="00BB4145" w:rsidRDefault="007F6BD4" w:rsidP="00A2337F">
            <w:pPr>
              <w:jc w:val="both"/>
              <w:rPr>
                <w:rFonts w:ascii="Arial Narrow" w:hAnsi="Arial Narrow"/>
                <w:sz w:val="20"/>
                <w:szCs w:val="20"/>
              </w:rPr>
            </w:pPr>
            <w:proofErr w:type="gramStart"/>
            <w:r w:rsidRPr="00BB4145">
              <w:rPr>
                <w:rFonts w:ascii="Arial Narrow" w:hAnsi="Arial Narrow"/>
                <w:sz w:val="20"/>
                <w:szCs w:val="20"/>
              </w:rPr>
              <w:t>Hypothèse:</w:t>
            </w:r>
            <w:proofErr w:type="gramEnd"/>
            <w:r w:rsidRPr="00BB4145">
              <w:rPr>
                <w:rFonts w:ascii="Arial Narrow" w:hAnsi="Arial Narrow"/>
                <w:sz w:val="20"/>
                <w:szCs w:val="20"/>
              </w:rPr>
              <w:t xml:space="preserve"> Les organisations de la société civile supposent que le Forum contribue à une certaine logistique dans le cadre d'initiatives conjointes, mais cela n'est souvent pas possible car ces initiatives spontanées ne sont pas budgétisées. </w:t>
            </w:r>
          </w:p>
        </w:tc>
      </w:tr>
      <w:tr w:rsidR="007F6BD4" w:rsidRPr="00BB4145" w14:paraId="5788EDA6" w14:textId="77777777" w:rsidTr="00BB4145">
        <w:tblPrEx>
          <w:shd w:val="clear" w:color="auto" w:fill="FFFFFF"/>
        </w:tblPrEx>
        <w:trPr>
          <w:trHeight w:val="1001"/>
        </w:trPr>
        <w:tc>
          <w:tcPr>
            <w:tcW w:w="1358"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D1796B" w14:textId="77777777" w:rsidR="007F6BD4" w:rsidRPr="00BB4145" w:rsidRDefault="007F6BD4" w:rsidP="00A2337F">
            <w:pPr>
              <w:pStyle w:val="TableStyle2"/>
              <w:rPr>
                <w:rFonts w:ascii="Arial Narrow" w:hAnsi="Arial Narrow"/>
              </w:rPr>
            </w:pPr>
            <w:r w:rsidRPr="00BB4145">
              <w:rPr>
                <w:rFonts w:ascii="Arial Narrow" w:hAnsi="Arial Narrow"/>
                <w:b/>
              </w:rPr>
              <w:t xml:space="preserve">Détachement </w:t>
            </w:r>
          </w:p>
        </w:tc>
        <w:tc>
          <w:tcPr>
            <w:tcW w:w="1214"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52BFBD3" w14:textId="77777777" w:rsidR="007F6BD4" w:rsidRPr="00BB4145" w:rsidRDefault="007F6BD4" w:rsidP="00A2337F">
            <w:pPr>
              <w:pStyle w:val="TableStyle2"/>
              <w:rPr>
                <w:rFonts w:ascii="Arial Narrow" w:hAnsi="Arial Narrow"/>
              </w:rPr>
            </w:pPr>
            <w:r w:rsidRPr="00BB4145">
              <w:rPr>
                <w:rFonts w:ascii="Arial Narrow" w:hAnsi="Arial Narrow"/>
              </w:rPr>
              <w:t xml:space="preserve">Concerne le personnel à temps plein - coût total pour le Forum qui est compensé par un membre du Parlement. Exemple d'un auditeur interne payé par le Parlement de Namibie/Mozambique </w:t>
            </w:r>
          </w:p>
        </w:tc>
        <w:tc>
          <w:tcPr>
            <w:tcW w:w="9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368B488" w14:textId="77777777" w:rsidR="007F6BD4" w:rsidRPr="00BB4145" w:rsidRDefault="007F6BD4" w:rsidP="00A2337F">
            <w:pPr>
              <w:pStyle w:val="TableStyle2"/>
              <w:rPr>
                <w:rFonts w:ascii="Arial Narrow" w:hAnsi="Arial Narrow"/>
              </w:rPr>
            </w:pPr>
            <w:r w:rsidRPr="00BB4145">
              <w:rPr>
                <w:rFonts w:ascii="Arial Narrow" w:hAnsi="Arial Narrow"/>
              </w:rPr>
              <w:t>2%</w:t>
            </w:r>
          </w:p>
        </w:tc>
        <w:tc>
          <w:tcPr>
            <w:tcW w:w="14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2E28804" w14:textId="77777777" w:rsidR="007F6BD4" w:rsidRPr="00BB4145" w:rsidRDefault="007F6BD4" w:rsidP="00A2337F">
            <w:pPr>
              <w:rPr>
                <w:rFonts w:ascii="Arial Narrow" w:hAnsi="Arial Narrow"/>
                <w:sz w:val="20"/>
                <w:szCs w:val="20"/>
              </w:rPr>
            </w:pPr>
            <w:r w:rsidRPr="00BB4145">
              <w:rPr>
                <w:rFonts w:ascii="Arial Narrow" w:hAnsi="Arial Narrow"/>
                <w:sz w:val="20"/>
                <w:szCs w:val="20"/>
              </w:rPr>
              <w:t>Risque : Les détachements à temps partiel se sont avérés largement inefficaces, car la charge de travail au niveau national entre en concurrence avec le travail du Forum.</w:t>
            </w:r>
          </w:p>
        </w:tc>
      </w:tr>
      <w:tr w:rsidR="007F6BD4" w:rsidRPr="00BB4145" w14:paraId="49F21584" w14:textId="77777777" w:rsidTr="00BB4145">
        <w:tblPrEx>
          <w:shd w:val="clear" w:color="auto" w:fill="FFFFFF"/>
        </w:tblPrEx>
        <w:trPr>
          <w:trHeight w:val="295"/>
        </w:trPr>
        <w:tc>
          <w:tcPr>
            <w:tcW w:w="1358"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B11DE3C" w14:textId="77777777" w:rsidR="007F6BD4" w:rsidRPr="00BB4145" w:rsidRDefault="007F6BD4" w:rsidP="00A2337F">
            <w:pPr>
              <w:rPr>
                <w:rFonts w:ascii="Arial Narrow" w:hAnsi="Arial Narrow"/>
                <w:sz w:val="20"/>
                <w:szCs w:val="20"/>
              </w:rPr>
            </w:pPr>
          </w:p>
        </w:tc>
        <w:tc>
          <w:tcPr>
            <w:tcW w:w="1214"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78770F9" w14:textId="77777777" w:rsidR="007F6BD4" w:rsidRPr="00BB4145" w:rsidRDefault="007F6BD4" w:rsidP="00A2337F">
            <w:pPr>
              <w:rPr>
                <w:rFonts w:ascii="Arial Narrow" w:hAnsi="Arial Narrow"/>
                <w:sz w:val="20"/>
                <w:szCs w:val="20"/>
              </w:rPr>
            </w:pPr>
          </w:p>
        </w:tc>
        <w:tc>
          <w:tcPr>
            <w:tcW w:w="96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6205DDBE" w14:textId="77777777" w:rsidR="007F6BD4" w:rsidRPr="00BB4145" w:rsidRDefault="007F6BD4" w:rsidP="00A2337F">
            <w:pPr>
              <w:pStyle w:val="TableStyle2"/>
              <w:rPr>
                <w:rFonts w:ascii="Arial Narrow" w:hAnsi="Arial Narrow"/>
              </w:rPr>
            </w:pPr>
            <w:r w:rsidRPr="00BB4145">
              <w:rPr>
                <w:rFonts w:ascii="Arial Narrow" w:hAnsi="Arial Narrow"/>
              </w:rPr>
              <w:t>100%</w:t>
            </w:r>
          </w:p>
        </w:tc>
        <w:tc>
          <w:tcPr>
            <w:tcW w:w="1459" w:type="pct"/>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1618A156" w14:textId="77777777" w:rsidR="007F6BD4" w:rsidRPr="00BB4145" w:rsidRDefault="007F6BD4" w:rsidP="00A2337F">
            <w:pPr>
              <w:rPr>
                <w:rFonts w:ascii="Arial Narrow" w:hAnsi="Arial Narrow"/>
                <w:sz w:val="20"/>
                <w:szCs w:val="20"/>
              </w:rPr>
            </w:pPr>
          </w:p>
        </w:tc>
      </w:tr>
    </w:tbl>
    <w:p w14:paraId="67304869" w14:textId="77777777" w:rsidR="007F6BD4" w:rsidRPr="00D86572" w:rsidRDefault="007F6BD4" w:rsidP="007F6BD4">
      <w:pPr>
        <w:pStyle w:val="Body"/>
        <w:rPr>
          <w:rFonts w:ascii="Bookman Old Style" w:hAnsi="Bookman Old Style"/>
        </w:rPr>
      </w:pPr>
    </w:p>
    <w:p w14:paraId="4256CDB8" w14:textId="77777777" w:rsidR="007F6BD4" w:rsidRPr="00D86572" w:rsidRDefault="007F6BD4" w:rsidP="007F6BD4">
      <w:pPr>
        <w:pStyle w:val="Body"/>
        <w:ind w:left="720"/>
        <w:rPr>
          <w:rFonts w:ascii="Bookman Old Style" w:hAnsi="Bookman Old Style"/>
        </w:rPr>
      </w:pPr>
    </w:p>
    <w:p w14:paraId="171EE310" w14:textId="6C116AC9" w:rsidR="007F6BD4" w:rsidRPr="00EE2960" w:rsidRDefault="00153A43" w:rsidP="00153A43">
      <w:pPr>
        <w:pStyle w:val="Body"/>
        <w:ind w:left="720" w:hanging="720"/>
        <w:rPr>
          <w:rFonts w:ascii="Bookman Old Style" w:hAnsi="Bookman Old Style"/>
          <w:sz w:val="24"/>
          <w:szCs w:val="24"/>
        </w:rPr>
      </w:pPr>
      <w:r>
        <w:rPr>
          <w:rFonts w:ascii="Bookman Old Style" w:hAnsi="Bookman Old Style"/>
          <w:sz w:val="24"/>
        </w:rPr>
        <w:t>1.8.1.</w:t>
      </w:r>
      <w:r>
        <w:rPr>
          <w:rFonts w:ascii="Bookman Old Style" w:hAnsi="Bookman Old Style"/>
          <w:sz w:val="24"/>
        </w:rPr>
        <w:tab/>
        <w:t>Ce qui précède démontre également la diversité des sources de financement et la manière dont les fonds provenant des donateurs (Suède, Autriche, subvention d'Action AID et partenaires coopérants internationaux) aident à mobiliser d'autres sources de financement. Par exemple, le programme SDSR et démocratie, qui profite au Forum en mettant en place des chercheurs nationaux, fournit des capacités supplémentaires aux parlements. D'autre part, la visibilité du Forum au niveau national est renforcée, ce qui contribue à la réalisation de ses objectifs interparlementaires.</w:t>
      </w:r>
    </w:p>
    <w:p w14:paraId="16F9A0C6" w14:textId="77777777" w:rsidR="007F6BD4" w:rsidRPr="00EE2960" w:rsidRDefault="007F6BD4" w:rsidP="007F6BD4">
      <w:pPr>
        <w:pStyle w:val="Body"/>
        <w:rPr>
          <w:rFonts w:ascii="Bookman Old Style" w:hAnsi="Bookman Old Style"/>
          <w:sz w:val="24"/>
          <w:szCs w:val="24"/>
        </w:rPr>
      </w:pPr>
    </w:p>
    <w:p w14:paraId="01999C1B" w14:textId="23317359" w:rsidR="007F6BD4" w:rsidRPr="00EE2960" w:rsidRDefault="00D9091B" w:rsidP="00D9091B">
      <w:pPr>
        <w:pStyle w:val="Body"/>
        <w:ind w:left="720" w:hanging="720"/>
        <w:rPr>
          <w:rFonts w:ascii="Bookman Old Style" w:hAnsi="Bookman Old Style"/>
          <w:b/>
          <w:bCs/>
          <w:i/>
          <w:iCs/>
          <w:sz w:val="24"/>
          <w:szCs w:val="24"/>
        </w:rPr>
      </w:pPr>
      <w:r>
        <w:rPr>
          <w:rFonts w:ascii="Bookman Old Style" w:hAnsi="Bookman Old Style"/>
          <w:sz w:val="24"/>
        </w:rPr>
        <w:t>1.8.2.</w:t>
      </w:r>
      <w:r>
        <w:rPr>
          <w:rFonts w:ascii="Bookman Old Style" w:hAnsi="Bookman Old Style"/>
          <w:sz w:val="24"/>
        </w:rPr>
        <w:tab/>
      </w:r>
      <w:r w:rsidRPr="00D44753">
        <w:rPr>
          <w:rFonts w:ascii="Bookman Old Style" w:hAnsi="Bookman Old Style"/>
          <w:b/>
          <w:i/>
          <w:sz w:val="24"/>
        </w:rPr>
        <w:t xml:space="preserve">Compte tenu de ce qui précède, il est nécessaire que </w:t>
      </w:r>
      <w:r w:rsidR="00A00E99" w:rsidRPr="00D44753">
        <w:rPr>
          <w:rFonts w:ascii="Bookman Old Style" w:hAnsi="Bookman Old Style"/>
          <w:b/>
          <w:i/>
          <w:sz w:val="24"/>
        </w:rPr>
        <w:t>l’Assemblée plénière</w:t>
      </w:r>
      <w:r w:rsidRPr="00D44753">
        <w:rPr>
          <w:rFonts w:ascii="Bookman Old Style" w:hAnsi="Bookman Old Style"/>
          <w:b/>
          <w:i/>
          <w:sz w:val="24"/>
        </w:rPr>
        <w:t>, et ensuite l'Assemblée plénière, examinent le prochain budget</w:t>
      </w:r>
      <w:r>
        <w:rPr>
          <w:rFonts w:ascii="Bookman Old Style" w:hAnsi="Bookman Old Style"/>
          <w:b/>
          <w:i/>
          <w:sz w:val="24"/>
        </w:rPr>
        <w:t xml:space="preserve"> en évaluant les facteurs critiques d'efficacité et de performance par rapport aux objectifs fixés par le Forum. Si le Forum doit progresser dans la réalisation de ses objectifs, il a besoin d'un budget favorable qui réponde aux objectifs programmatiques, de personnel et administratifs qui peuvent positionner le Forum comme un véritable porte-drapeau de la démocratisation et du développement socio-économique de la région. Cela nécessitera des décisions audacieuses en ce qui concerne la détermination des priorités, le mode de fonctionnement et les sources de financement, d'autant plus que l'institution s'achemine vers sa transformation en Parlement régional.</w:t>
      </w:r>
    </w:p>
    <w:p w14:paraId="6F9A2BB8" w14:textId="77777777" w:rsidR="000333C4" w:rsidRPr="008040EC" w:rsidRDefault="000333C4" w:rsidP="00480C2B">
      <w:pPr>
        <w:spacing w:after="0" w:line="240" w:lineRule="auto"/>
        <w:jc w:val="both"/>
        <w:rPr>
          <w:rFonts w:ascii="Bookman Old Style" w:hAnsi="Bookman Old Style"/>
          <w:bCs/>
          <w:sz w:val="24"/>
          <w:szCs w:val="24"/>
        </w:rPr>
      </w:pPr>
    </w:p>
    <w:p w14:paraId="2C1C34F3" w14:textId="76245D5E" w:rsidR="00FB7436" w:rsidRDefault="00FB7436" w:rsidP="00480C2B">
      <w:pPr>
        <w:pBdr>
          <w:bottom w:val="single" w:sz="6" w:space="1" w:color="auto"/>
        </w:pBdr>
        <w:spacing w:after="0" w:line="240" w:lineRule="auto"/>
        <w:jc w:val="both"/>
        <w:rPr>
          <w:rFonts w:ascii="Bookman Old Style" w:hAnsi="Bookman Old Style"/>
          <w:bCs/>
          <w:sz w:val="24"/>
          <w:szCs w:val="24"/>
        </w:rPr>
      </w:pPr>
    </w:p>
    <w:p w14:paraId="1A8ADE88" w14:textId="77777777" w:rsidR="00D9091B" w:rsidRDefault="00D9091B" w:rsidP="00480C2B">
      <w:pPr>
        <w:spacing w:after="0" w:line="240" w:lineRule="auto"/>
        <w:jc w:val="both"/>
        <w:rPr>
          <w:rFonts w:ascii="Bookman Old Style" w:hAnsi="Bookman Old Style"/>
          <w:bCs/>
          <w:sz w:val="24"/>
          <w:szCs w:val="24"/>
        </w:rPr>
      </w:pPr>
    </w:p>
    <w:p w14:paraId="64A5E1CE" w14:textId="4AD48077" w:rsidR="00E319AE" w:rsidRDefault="00E319AE" w:rsidP="00480C2B">
      <w:pPr>
        <w:spacing w:after="0" w:line="240" w:lineRule="auto"/>
        <w:jc w:val="both"/>
        <w:rPr>
          <w:rFonts w:ascii="Bookman Old Style" w:hAnsi="Bookman Old Style"/>
          <w:bCs/>
          <w:sz w:val="24"/>
          <w:szCs w:val="24"/>
        </w:rPr>
      </w:pPr>
    </w:p>
    <w:p w14:paraId="261D5CA3" w14:textId="77777777" w:rsidR="00480C2B" w:rsidRPr="008040EC" w:rsidRDefault="00480C2B" w:rsidP="00480C2B">
      <w:pPr>
        <w:spacing w:after="0" w:line="240" w:lineRule="auto"/>
        <w:jc w:val="both"/>
        <w:rPr>
          <w:rFonts w:ascii="Bookman Old Style" w:hAnsi="Bookman Old Style"/>
          <w:bCs/>
          <w:sz w:val="24"/>
          <w:szCs w:val="24"/>
        </w:rPr>
      </w:pPr>
    </w:p>
    <w:p w14:paraId="747B0F27" w14:textId="1BA2B852" w:rsidR="00FA04F6" w:rsidRPr="00D9091B" w:rsidRDefault="00D93896" w:rsidP="00D44753">
      <w:pPr>
        <w:pStyle w:val="ListParagraph"/>
        <w:keepNext/>
        <w:keepLines/>
        <w:numPr>
          <w:ilvl w:val="0"/>
          <w:numId w:val="27"/>
        </w:numPr>
        <w:spacing w:after="0" w:line="240" w:lineRule="auto"/>
        <w:ind w:left="567" w:hanging="567"/>
        <w:jc w:val="both"/>
        <w:rPr>
          <w:rFonts w:ascii="Bookman Old Style" w:hAnsi="Bookman Old Style"/>
          <w:b/>
          <w:sz w:val="24"/>
          <w:szCs w:val="24"/>
        </w:rPr>
      </w:pPr>
      <w:bookmarkStart w:id="1" w:name="_Toc361048654"/>
      <w:bookmarkStart w:id="2" w:name="_Toc536696518"/>
      <w:r>
        <w:rPr>
          <w:rFonts w:ascii="Bookman Old Style" w:hAnsi="Bookman Old Style"/>
          <w:b/>
          <w:sz w:val="24"/>
        </w:rPr>
        <w:t>RÉSUMÉ ANALYTIQUE</w:t>
      </w:r>
    </w:p>
    <w:p w14:paraId="3001465A" w14:textId="6F08EFD2" w:rsidR="00FA04F6" w:rsidRPr="008040EC" w:rsidRDefault="0067097C" w:rsidP="00794787">
      <w:pPr>
        <w:keepNext/>
        <w:keepLines/>
        <w:spacing w:after="0" w:line="240" w:lineRule="auto"/>
        <w:ind w:left="567"/>
        <w:jc w:val="both"/>
        <w:rPr>
          <w:rFonts w:ascii="Bookman Old Style" w:hAnsi="Bookman Old Style"/>
          <w:sz w:val="24"/>
          <w:szCs w:val="24"/>
        </w:rPr>
      </w:pPr>
      <w:r>
        <w:rPr>
          <w:rFonts w:ascii="Bookman Old Style" w:hAnsi="Bookman Old Style"/>
          <w:sz w:val="24"/>
        </w:rPr>
        <w:t>L'Assemblée plénière est invitée à examiner et à approuver la proposition de budget pour l'exercice financier allant du 1er avril 2023 au 31 mars 2024.</w:t>
      </w:r>
    </w:p>
    <w:bookmarkEnd w:id="1"/>
    <w:bookmarkEnd w:id="2"/>
    <w:p w14:paraId="3BF4B5D9" w14:textId="77777777" w:rsidR="00FA04F6" w:rsidRPr="008040EC" w:rsidRDefault="00FA04F6" w:rsidP="00480C2B">
      <w:pPr>
        <w:spacing w:after="0" w:line="240" w:lineRule="auto"/>
        <w:ind w:left="567" w:hanging="567"/>
        <w:jc w:val="both"/>
        <w:rPr>
          <w:rFonts w:ascii="Bookman Old Style" w:hAnsi="Bookman Old Style"/>
          <w:sz w:val="24"/>
          <w:szCs w:val="24"/>
        </w:rPr>
      </w:pPr>
    </w:p>
    <w:p w14:paraId="0B675AAE" w14:textId="77777777" w:rsidR="005A3E76" w:rsidRDefault="005A3E76" w:rsidP="005A3E76">
      <w:pPr>
        <w:spacing w:after="0" w:line="240" w:lineRule="auto"/>
        <w:ind w:left="567" w:hanging="567"/>
        <w:jc w:val="both"/>
        <w:rPr>
          <w:rFonts w:ascii="Bookman Old Style" w:hAnsi="Bookman Old Style"/>
          <w:sz w:val="24"/>
          <w:szCs w:val="24"/>
        </w:rPr>
      </w:pPr>
      <w:r>
        <w:rPr>
          <w:rFonts w:ascii="Bookman Old Style" w:hAnsi="Bookman Old Style"/>
          <w:b/>
          <w:sz w:val="24"/>
        </w:rPr>
        <w:t>2.1.</w:t>
      </w:r>
      <w:r>
        <w:rPr>
          <w:rFonts w:ascii="Bookman Old Style" w:hAnsi="Bookman Old Style"/>
          <w:b/>
          <w:sz w:val="24"/>
        </w:rPr>
        <w:tab/>
        <w:t>Sources des finances</w:t>
      </w:r>
    </w:p>
    <w:p w14:paraId="103C99E7" w14:textId="33638162" w:rsidR="0036314E" w:rsidRPr="005A3E76" w:rsidRDefault="00FA04F6" w:rsidP="005A3E76">
      <w:pPr>
        <w:spacing w:after="0" w:line="240" w:lineRule="auto"/>
        <w:ind w:left="567"/>
        <w:jc w:val="both"/>
        <w:rPr>
          <w:rFonts w:ascii="Bookman Old Style" w:hAnsi="Bookman Old Style"/>
          <w:sz w:val="24"/>
          <w:szCs w:val="24"/>
        </w:rPr>
      </w:pPr>
      <w:r>
        <w:rPr>
          <w:rFonts w:ascii="Bookman Old Style" w:hAnsi="Bookman Old Style"/>
          <w:sz w:val="24"/>
        </w:rPr>
        <w:t>Ce budget prévoit toutes les sources de financement connues et confirmées pour l'exercice 2023/2024.</w:t>
      </w:r>
    </w:p>
    <w:p w14:paraId="11B10E3C" w14:textId="77777777" w:rsidR="005A3E76" w:rsidRDefault="005A3E76" w:rsidP="005A3E76">
      <w:pPr>
        <w:spacing w:after="0" w:line="240" w:lineRule="auto"/>
        <w:jc w:val="both"/>
        <w:rPr>
          <w:rFonts w:ascii="Bookman Old Style" w:hAnsi="Bookman Old Style"/>
          <w:sz w:val="24"/>
          <w:szCs w:val="24"/>
        </w:rPr>
      </w:pPr>
    </w:p>
    <w:p w14:paraId="736D3E32" w14:textId="37925BA9" w:rsidR="005A3E76" w:rsidRDefault="00FD4D92" w:rsidP="005A3E76">
      <w:pPr>
        <w:pStyle w:val="ListParagraph"/>
        <w:numPr>
          <w:ilvl w:val="1"/>
          <w:numId w:val="28"/>
        </w:numPr>
        <w:spacing w:after="0" w:line="240" w:lineRule="auto"/>
        <w:jc w:val="both"/>
        <w:rPr>
          <w:rFonts w:ascii="Bookman Old Style" w:hAnsi="Bookman Old Style"/>
          <w:sz w:val="24"/>
          <w:szCs w:val="24"/>
        </w:rPr>
      </w:pPr>
      <w:r>
        <w:rPr>
          <w:rFonts w:ascii="Bookman Old Style" w:hAnsi="Bookman Old Style"/>
          <w:sz w:val="24"/>
        </w:rPr>
        <w:t xml:space="preserve">Les budgets détaillés pour le financement des bailleurs de fonds seront fournis au niveau du programme et ne sont pas contenus dans cette proposition de budget. </w:t>
      </w:r>
    </w:p>
    <w:p w14:paraId="04D3283B" w14:textId="77777777" w:rsidR="00C3263D" w:rsidRDefault="00C3263D" w:rsidP="00C3263D">
      <w:pPr>
        <w:pStyle w:val="ListParagraph"/>
        <w:spacing w:after="0" w:line="240" w:lineRule="auto"/>
        <w:jc w:val="both"/>
        <w:rPr>
          <w:rFonts w:ascii="Bookman Old Style" w:hAnsi="Bookman Old Style"/>
          <w:sz w:val="24"/>
          <w:szCs w:val="24"/>
        </w:rPr>
      </w:pPr>
    </w:p>
    <w:p w14:paraId="48BA628A" w14:textId="5F469D55" w:rsidR="004A16A0" w:rsidRPr="004A16A0" w:rsidRDefault="004A16A0" w:rsidP="005A3E76">
      <w:pPr>
        <w:pStyle w:val="ListParagraph"/>
        <w:numPr>
          <w:ilvl w:val="1"/>
          <w:numId w:val="28"/>
        </w:numPr>
        <w:spacing w:after="0" w:line="240" w:lineRule="auto"/>
        <w:jc w:val="both"/>
        <w:rPr>
          <w:rFonts w:ascii="Bookman Old Style" w:hAnsi="Bookman Old Style"/>
          <w:b/>
          <w:bCs/>
          <w:sz w:val="24"/>
          <w:szCs w:val="24"/>
        </w:rPr>
      </w:pPr>
      <w:r>
        <w:rPr>
          <w:rFonts w:ascii="Bookman Old Style" w:hAnsi="Bookman Old Style"/>
          <w:b/>
          <w:sz w:val="24"/>
        </w:rPr>
        <w:t>Accent mis sur les ressources financières générées en interne</w:t>
      </w:r>
    </w:p>
    <w:p w14:paraId="288316D8" w14:textId="69A70D69" w:rsidR="005A3E76" w:rsidRPr="004A16A0" w:rsidRDefault="00ED038F" w:rsidP="004A16A0">
      <w:pPr>
        <w:spacing w:after="0" w:line="240" w:lineRule="auto"/>
        <w:ind w:left="720"/>
        <w:jc w:val="both"/>
        <w:rPr>
          <w:rFonts w:ascii="Bookman Old Style" w:hAnsi="Bookman Old Style"/>
          <w:b/>
          <w:bCs/>
          <w:sz w:val="24"/>
          <w:szCs w:val="24"/>
        </w:rPr>
      </w:pPr>
      <w:r>
        <w:rPr>
          <w:rFonts w:ascii="Bookman Old Style" w:hAnsi="Bookman Old Style"/>
          <w:sz w:val="24"/>
        </w:rPr>
        <w:t xml:space="preserve">La SADC PF et ses membres continuent de s'adapter au changement, compte tenu de l'évolution constante de l'environnement politique, économique, social et </w:t>
      </w:r>
      <w:proofErr w:type="gramStart"/>
      <w:r>
        <w:rPr>
          <w:rFonts w:ascii="Bookman Old Style" w:hAnsi="Bookman Old Style"/>
          <w:sz w:val="24"/>
        </w:rPr>
        <w:t>technique mondial</w:t>
      </w:r>
      <w:proofErr w:type="gramEnd"/>
      <w:r>
        <w:rPr>
          <w:rFonts w:ascii="Bookman Old Style" w:hAnsi="Bookman Old Style"/>
          <w:sz w:val="24"/>
        </w:rPr>
        <w:t xml:space="preserve">. Comme indiqué dans les budgets des années précédentes, les tendances mondiales actuelles ont justifié de repenser la manière dont le Forum structure son budget, de </w:t>
      </w:r>
      <w:r>
        <w:rPr>
          <w:rFonts w:ascii="Bookman Old Style" w:hAnsi="Bookman Old Style"/>
          <w:sz w:val="24"/>
        </w:rPr>
        <w:lastRenderedPageBreak/>
        <w:t xml:space="preserve">sorte qu'il est progressivement devenu moins dépendant du financement des donateurs, ces derniers n'étant utilisés que comme un filet de sécurité pour les projets thématiques uniquement, plutôt que pour le fonctionnement de ses opérations de base. </w:t>
      </w:r>
      <w:r>
        <w:rPr>
          <w:rFonts w:ascii="Bookman Old Style" w:hAnsi="Bookman Old Style"/>
          <w:b/>
          <w:sz w:val="24"/>
        </w:rPr>
        <w:t>Pour l'année 2023/2024, le budget reconnaît l'absence de financement externe et se rabat sur ses ressources internes.</w:t>
      </w:r>
    </w:p>
    <w:p w14:paraId="5D3AE5E5" w14:textId="77777777" w:rsidR="00C3263D" w:rsidRPr="00B52D61" w:rsidRDefault="00C3263D" w:rsidP="00C3263D">
      <w:pPr>
        <w:pStyle w:val="ListParagraph"/>
        <w:spacing w:after="0" w:line="240" w:lineRule="auto"/>
        <w:jc w:val="both"/>
        <w:rPr>
          <w:rFonts w:ascii="Bookman Old Style" w:hAnsi="Bookman Old Style"/>
          <w:b/>
          <w:bCs/>
          <w:sz w:val="24"/>
          <w:szCs w:val="24"/>
        </w:rPr>
      </w:pPr>
    </w:p>
    <w:p w14:paraId="47F8A623" w14:textId="6E1DA1B5" w:rsidR="00C3263D" w:rsidRDefault="00C3263D" w:rsidP="005A3E76">
      <w:pPr>
        <w:pStyle w:val="ListParagraph"/>
        <w:numPr>
          <w:ilvl w:val="1"/>
          <w:numId w:val="28"/>
        </w:numPr>
        <w:spacing w:after="0" w:line="240" w:lineRule="auto"/>
        <w:jc w:val="both"/>
        <w:rPr>
          <w:rFonts w:ascii="Bookman Old Style" w:hAnsi="Bookman Old Style"/>
          <w:sz w:val="24"/>
          <w:szCs w:val="24"/>
        </w:rPr>
      </w:pPr>
      <w:r>
        <w:rPr>
          <w:rFonts w:ascii="Bookman Old Style" w:hAnsi="Bookman Old Style"/>
          <w:b/>
          <w:sz w:val="24"/>
        </w:rPr>
        <w:t>Mode d'opération/mise en œuvre des activités</w:t>
      </w:r>
    </w:p>
    <w:p w14:paraId="35032B3D" w14:textId="68B255D8" w:rsidR="005A3E76" w:rsidRPr="009B2C35" w:rsidRDefault="009B4224" w:rsidP="004A16A0">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Le budget pour l'exercice 2023/2024 garantit que les activités du Forum sont menées dans le cadre des fonds provenant des contributions annuelles obligatoires et des bénéfices non distribués, avec une contribution en nature minimale de la part des parlements membres.</w:t>
      </w:r>
    </w:p>
    <w:p w14:paraId="1C94212D" w14:textId="77777777" w:rsidR="009B2C35" w:rsidRPr="00B61E56" w:rsidRDefault="009B2C35" w:rsidP="009B2C35">
      <w:pPr>
        <w:pStyle w:val="ListParagraph"/>
        <w:spacing w:after="0" w:line="240" w:lineRule="auto"/>
        <w:jc w:val="both"/>
        <w:rPr>
          <w:rFonts w:ascii="Bookman Old Style" w:hAnsi="Bookman Old Style"/>
          <w:sz w:val="24"/>
          <w:szCs w:val="24"/>
        </w:rPr>
      </w:pPr>
    </w:p>
    <w:p w14:paraId="449E2D6C" w14:textId="77777777" w:rsidR="009B2C35" w:rsidRPr="009B2C35" w:rsidRDefault="00456C2C" w:rsidP="004A16A0">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Conformément à la résolution du Comité exécutif, lors de sa réunion du 13 novembre 2021, à Johannesbourg, Afrique du Sud, et comme cela a été le cas pour le budget de l'exercice 2022/2023, il est proposé qu'au cours du prochain exercice, certaines des réunions statutaires de l'institution se tiennent en mode présidentiel et d'autres en mode virtuel, comme suit :</w:t>
      </w:r>
    </w:p>
    <w:p w14:paraId="03415796" w14:textId="77777777" w:rsidR="009B2C35" w:rsidRPr="009B2C35" w:rsidRDefault="009B2C35" w:rsidP="009B2C35">
      <w:pPr>
        <w:pStyle w:val="ListParagraph"/>
        <w:rPr>
          <w:rFonts w:ascii="Bookman Old Style" w:hAnsi="Bookman Old Style"/>
          <w:sz w:val="24"/>
        </w:rPr>
      </w:pPr>
    </w:p>
    <w:p w14:paraId="0A590AF5" w14:textId="77777777" w:rsidR="009B2C35" w:rsidRPr="009B2C35" w:rsidRDefault="00F1325D"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Il est envisagé de tenir les 53</w:t>
      </w:r>
      <w:r>
        <w:rPr>
          <w:rFonts w:ascii="Bookman Old Style" w:hAnsi="Bookman Old Style"/>
          <w:sz w:val="24"/>
          <w:vertAlign w:val="superscript"/>
        </w:rPr>
        <w:t>e</w:t>
      </w:r>
      <w:r>
        <w:rPr>
          <w:rFonts w:ascii="Bookman Old Style" w:hAnsi="Bookman Old Style"/>
          <w:sz w:val="24"/>
        </w:rPr>
        <w:t xml:space="preserve"> et 54</w:t>
      </w:r>
      <w:r>
        <w:rPr>
          <w:rFonts w:ascii="Bookman Old Style" w:hAnsi="Bookman Old Style"/>
          <w:sz w:val="24"/>
          <w:vertAlign w:val="superscript"/>
        </w:rPr>
        <w:t>e</w:t>
      </w:r>
      <w:r>
        <w:rPr>
          <w:rFonts w:ascii="Bookman Old Style" w:hAnsi="Bookman Old Style"/>
          <w:sz w:val="24"/>
        </w:rPr>
        <w:t xml:space="preserve"> assemblées plénières en face à face.</w:t>
      </w:r>
    </w:p>
    <w:p w14:paraId="2F25AF6A" w14:textId="4660CB03" w:rsidR="00B714BA" w:rsidRPr="00B61E56" w:rsidRDefault="00F1325D" w:rsidP="009B2C35">
      <w:pPr>
        <w:pStyle w:val="ListParagraph"/>
        <w:spacing w:after="0" w:line="240" w:lineRule="auto"/>
        <w:ind w:left="1080"/>
        <w:jc w:val="both"/>
        <w:rPr>
          <w:rFonts w:ascii="Bookman Old Style" w:hAnsi="Bookman Old Style"/>
          <w:sz w:val="24"/>
          <w:szCs w:val="24"/>
        </w:rPr>
      </w:pPr>
      <w:r>
        <w:rPr>
          <w:rFonts w:ascii="Bookman Old Style" w:hAnsi="Bookman Old Style"/>
          <w:sz w:val="24"/>
        </w:rPr>
        <w:t xml:space="preserve"> </w:t>
      </w:r>
    </w:p>
    <w:p w14:paraId="3C21E02B" w14:textId="77777777" w:rsidR="00B714BA" w:rsidRPr="00B61E56" w:rsidRDefault="00DF4535"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Il est proposé que deux réunions du comité exécutif se tiennent en face à face, et que toutes les autres réunions du comité exécutif se tiennent virtuellement. Le budget prévoit 2 réunions en mode présentiel et 2 réunions en mode virtuel.</w:t>
      </w:r>
      <w:bookmarkStart w:id="3" w:name="_Hlk117407285"/>
    </w:p>
    <w:p w14:paraId="4E3492A8" w14:textId="15061CD1" w:rsidR="00B714BA" w:rsidRPr="009B2C35" w:rsidRDefault="00E24E99"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Toutes les réunions du sous-comité du Comité exécutif se dérouleront de manière virtuelle (FSC, HR &amp; PCD, juridique et affaires parlementaires). Le budget prévoit 2 réunions virtuelles pour chaque sous-comité.</w:t>
      </w:r>
    </w:p>
    <w:p w14:paraId="268C402A" w14:textId="77777777" w:rsidR="009B2C35" w:rsidRPr="00B61E56" w:rsidRDefault="009B2C35" w:rsidP="009B2C35">
      <w:pPr>
        <w:pStyle w:val="ListParagraph"/>
        <w:spacing w:after="0" w:line="240" w:lineRule="auto"/>
        <w:ind w:left="1080"/>
        <w:jc w:val="both"/>
        <w:rPr>
          <w:rFonts w:ascii="Bookman Old Style" w:hAnsi="Bookman Old Style"/>
          <w:sz w:val="24"/>
          <w:szCs w:val="24"/>
        </w:rPr>
      </w:pPr>
    </w:p>
    <w:p w14:paraId="1F9A640A" w14:textId="4AECC0A5" w:rsidR="00B714BA" w:rsidRPr="009B2C35" w:rsidRDefault="00C8036C"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Il est proposé que les réunions d</w:t>
      </w:r>
      <w:r w:rsidR="00A00E99">
        <w:rPr>
          <w:rFonts w:ascii="Bookman Old Style" w:hAnsi="Bookman Old Style"/>
          <w:sz w:val="24"/>
        </w:rPr>
        <w:t>es</w:t>
      </w:r>
      <w:r>
        <w:rPr>
          <w:rFonts w:ascii="Bookman Old Style" w:hAnsi="Bookman Old Style"/>
          <w:sz w:val="24"/>
        </w:rPr>
        <w:t xml:space="preserve"> </w:t>
      </w:r>
      <w:r w:rsidR="00A00E99">
        <w:rPr>
          <w:rFonts w:ascii="Bookman Old Style" w:hAnsi="Bookman Old Style"/>
          <w:sz w:val="24"/>
        </w:rPr>
        <w:t>commissions</w:t>
      </w:r>
      <w:r>
        <w:rPr>
          <w:rFonts w:ascii="Bookman Old Style" w:hAnsi="Bookman Old Style"/>
          <w:sz w:val="24"/>
        </w:rPr>
        <w:t xml:space="preserve"> permanent</w:t>
      </w:r>
      <w:r w:rsidR="00A00E99">
        <w:rPr>
          <w:rFonts w:ascii="Bookman Old Style" w:hAnsi="Bookman Old Style"/>
          <w:sz w:val="24"/>
        </w:rPr>
        <w:t>es</w:t>
      </w:r>
      <w:r>
        <w:rPr>
          <w:rFonts w:ascii="Bookman Old Style" w:hAnsi="Bookman Old Style"/>
          <w:sz w:val="24"/>
        </w:rPr>
        <w:t xml:space="preserve">, du RPMLOC et du RWPC se tiennent toutes virtuellement, à moins qu'un financement externe ne soit disponible pour des réunions en mode présentiel. À cet égard, </w:t>
      </w:r>
      <w:r w:rsidR="00A00E99" w:rsidRPr="00D44753">
        <w:rPr>
          <w:rFonts w:ascii="Bookman Old Style" w:hAnsi="Bookman Old Style"/>
          <w:sz w:val="24"/>
        </w:rPr>
        <w:t>l’Assemblée plénière</w:t>
      </w:r>
      <w:r>
        <w:rPr>
          <w:rFonts w:ascii="Bookman Old Style" w:hAnsi="Bookman Old Style"/>
          <w:sz w:val="24"/>
        </w:rPr>
        <w:t xml:space="preserve"> souhaitera peut-être noter que certains comités permanents pourront tenir des réunions physiques tandis que d'autres ne pourront tenir que des réunions virtuelles. Le budget prévoit 2 réunions virtuelles pour chacun des cinq comités permanents, le RPMLOC et le RWPC.</w:t>
      </w:r>
      <w:bookmarkEnd w:id="3"/>
    </w:p>
    <w:p w14:paraId="332162B5" w14:textId="77777777" w:rsidR="009B2C35" w:rsidRPr="009B2C35" w:rsidRDefault="009B2C35" w:rsidP="009B2C35">
      <w:pPr>
        <w:pStyle w:val="ListParagraph"/>
        <w:rPr>
          <w:rFonts w:ascii="Bookman Old Style" w:hAnsi="Bookman Old Style"/>
          <w:sz w:val="24"/>
          <w:szCs w:val="24"/>
        </w:rPr>
      </w:pPr>
    </w:p>
    <w:p w14:paraId="353217F9" w14:textId="53A2977C" w:rsidR="001030C6" w:rsidRPr="00B61E56" w:rsidRDefault="00F11EB1"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Pour toutes les réunions en mode présentiel, une disposition sera prise pour faciliter la participation par le biais d'une plateforme virtuelle (système hybride).</w:t>
      </w:r>
      <w:r>
        <w:rPr>
          <w:rFonts w:ascii="Bookman Old Style" w:hAnsi="Bookman Old Style"/>
          <w:b/>
          <w:i/>
          <w:sz w:val="24"/>
        </w:rPr>
        <w:t xml:space="preserve"> </w:t>
      </w:r>
    </w:p>
    <w:p w14:paraId="794D535E" w14:textId="4FCEF43C" w:rsidR="0070011E" w:rsidRDefault="0070011E" w:rsidP="0070011E">
      <w:pPr>
        <w:pStyle w:val="ListParagraph"/>
        <w:spacing w:after="0" w:line="240" w:lineRule="auto"/>
        <w:ind w:left="567"/>
        <w:jc w:val="both"/>
        <w:rPr>
          <w:rFonts w:ascii="Bookman Old Style" w:hAnsi="Bookman Old Style"/>
          <w:b/>
          <w:bCs/>
          <w:i/>
          <w:iCs/>
          <w:sz w:val="24"/>
          <w:szCs w:val="24"/>
        </w:rPr>
      </w:pPr>
    </w:p>
    <w:p w14:paraId="517C7724" w14:textId="2EF375A6" w:rsidR="00D44753" w:rsidRDefault="00D44753" w:rsidP="0070011E">
      <w:pPr>
        <w:pStyle w:val="ListParagraph"/>
        <w:spacing w:after="0" w:line="240" w:lineRule="auto"/>
        <w:ind w:left="567"/>
        <w:jc w:val="both"/>
        <w:rPr>
          <w:rFonts w:ascii="Bookman Old Style" w:hAnsi="Bookman Old Style"/>
          <w:b/>
          <w:bCs/>
          <w:i/>
          <w:iCs/>
          <w:sz w:val="24"/>
          <w:szCs w:val="24"/>
        </w:rPr>
      </w:pPr>
    </w:p>
    <w:p w14:paraId="4CF5256A" w14:textId="73A9319D" w:rsidR="00D44753" w:rsidRDefault="00D44753" w:rsidP="0070011E">
      <w:pPr>
        <w:pStyle w:val="ListParagraph"/>
        <w:spacing w:after="0" w:line="240" w:lineRule="auto"/>
        <w:ind w:left="567"/>
        <w:jc w:val="both"/>
        <w:rPr>
          <w:rFonts w:ascii="Bookman Old Style" w:hAnsi="Bookman Old Style"/>
          <w:b/>
          <w:bCs/>
          <w:i/>
          <w:iCs/>
          <w:sz w:val="24"/>
          <w:szCs w:val="24"/>
        </w:rPr>
      </w:pPr>
    </w:p>
    <w:p w14:paraId="3CE159A2" w14:textId="2C387099" w:rsidR="00D44753" w:rsidRDefault="00D44753" w:rsidP="0070011E">
      <w:pPr>
        <w:pStyle w:val="ListParagraph"/>
        <w:spacing w:after="0" w:line="240" w:lineRule="auto"/>
        <w:ind w:left="567"/>
        <w:jc w:val="both"/>
        <w:rPr>
          <w:rFonts w:ascii="Bookman Old Style" w:hAnsi="Bookman Old Style"/>
          <w:b/>
          <w:bCs/>
          <w:i/>
          <w:iCs/>
          <w:sz w:val="24"/>
          <w:szCs w:val="24"/>
        </w:rPr>
      </w:pPr>
    </w:p>
    <w:p w14:paraId="0C4461C5" w14:textId="77777777" w:rsidR="00D44753" w:rsidRPr="00B61E56" w:rsidRDefault="00D44753" w:rsidP="0070011E">
      <w:pPr>
        <w:pStyle w:val="ListParagraph"/>
        <w:spacing w:after="0" w:line="240" w:lineRule="auto"/>
        <w:ind w:left="567"/>
        <w:jc w:val="both"/>
        <w:rPr>
          <w:rFonts w:ascii="Bookman Old Style" w:hAnsi="Bookman Old Style"/>
          <w:b/>
          <w:bCs/>
          <w:i/>
          <w:iCs/>
          <w:sz w:val="24"/>
          <w:szCs w:val="24"/>
        </w:rPr>
      </w:pPr>
    </w:p>
    <w:p w14:paraId="31DA5414" w14:textId="36678148" w:rsidR="00C45922" w:rsidRPr="00D44753" w:rsidRDefault="00C45922" w:rsidP="00D44753">
      <w:pPr>
        <w:pStyle w:val="ListParagraph"/>
        <w:numPr>
          <w:ilvl w:val="1"/>
          <w:numId w:val="28"/>
        </w:numPr>
        <w:spacing w:after="0" w:line="240" w:lineRule="auto"/>
        <w:ind w:left="567" w:hanging="567"/>
        <w:jc w:val="both"/>
        <w:rPr>
          <w:rFonts w:ascii="Bookman Old Style" w:hAnsi="Bookman Old Style"/>
          <w:b/>
          <w:bCs/>
          <w:sz w:val="24"/>
          <w:szCs w:val="24"/>
        </w:rPr>
      </w:pPr>
      <w:r>
        <w:rPr>
          <w:rFonts w:ascii="Bookman Old Style" w:hAnsi="Bookman Old Style"/>
          <w:b/>
          <w:sz w:val="24"/>
        </w:rPr>
        <w:lastRenderedPageBreak/>
        <w:t>Contribution des parlements membres en nature</w:t>
      </w:r>
    </w:p>
    <w:p w14:paraId="0EBAEFE7" w14:textId="6B8D30E4" w:rsidR="000F07D8" w:rsidRPr="00B61E56" w:rsidRDefault="00CC0A46" w:rsidP="00D44753">
      <w:pPr>
        <w:pStyle w:val="ListParagraph"/>
        <w:spacing w:after="0" w:line="240" w:lineRule="auto"/>
        <w:ind w:left="567"/>
        <w:jc w:val="both"/>
        <w:rPr>
          <w:rFonts w:ascii="Bookman Old Style" w:hAnsi="Bookman Old Style"/>
          <w:b/>
          <w:bCs/>
          <w:sz w:val="24"/>
          <w:szCs w:val="24"/>
        </w:rPr>
      </w:pPr>
      <w:r>
        <w:rPr>
          <w:rFonts w:ascii="Bookman Old Style" w:hAnsi="Bookman Old Style"/>
          <w:b/>
          <w:sz w:val="24"/>
        </w:rPr>
        <w:t xml:space="preserve">Conformément à la politique établie par la SADC PF, les coûts de participation des membres aux réunions en mode </w:t>
      </w:r>
      <w:r w:rsidR="00BB4145">
        <w:rPr>
          <w:rFonts w:ascii="Bookman Old Style" w:hAnsi="Bookman Old Style"/>
          <w:b/>
          <w:sz w:val="24"/>
        </w:rPr>
        <w:t>présentiel</w:t>
      </w:r>
      <w:r>
        <w:rPr>
          <w:rFonts w:ascii="Bookman Old Style" w:hAnsi="Bookman Old Style"/>
          <w:b/>
          <w:sz w:val="24"/>
        </w:rPr>
        <w:t xml:space="preserve"> sont pris en charge par leurs Parlements membres, à moins qu'un financement externe ne soit disponible.</w:t>
      </w:r>
    </w:p>
    <w:p w14:paraId="522D1595" w14:textId="47D8DF37" w:rsidR="006A4500" w:rsidRPr="00B61E56" w:rsidRDefault="006A4500" w:rsidP="00D44753">
      <w:pPr>
        <w:spacing w:after="0" w:line="240" w:lineRule="auto"/>
        <w:ind w:left="567" w:hanging="567"/>
        <w:jc w:val="both"/>
        <w:rPr>
          <w:rFonts w:ascii="Bookman Old Style" w:hAnsi="Bookman Old Style"/>
          <w:b/>
          <w:bCs/>
          <w:sz w:val="24"/>
          <w:szCs w:val="24"/>
        </w:rPr>
      </w:pPr>
    </w:p>
    <w:p w14:paraId="69137638" w14:textId="77777777" w:rsidR="00EF1A37" w:rsidRPr="00B61E56" w:rsidRDefault="003C5268" w:rsidP="00D44753">
      <w:pPr>
        <w:pStyle w:val="ListParagraph"/>
        <w:numPr>
          <w:ilvl w:val="1"/>
          <w:numId w:val="28"/>
        </w:numPr>
        <w:spacing w:after="0" w:line="240" w:lineRule="auto"/>
        <w:ind w:left="567" w:hanging="567"/>
        <w:jc w:val="both"/>
        <w:rPr>
          <w:rFonts w:ascii="Bookman Old Style" w:hAnsi="Bookman Old Style"/>
          <w:sz w:val="24"/>
          <w:szCs w:val="24"/>
        </w:rPr>
      </w:pPr>
      <w:r>
        <w:rPr>
          <w:rFonts w:ascii="Bookman Old Style" w:hAnsi="Bookman Old Style"/>
          <w:b/>
          <w:bCs/>
          <w:sz w:val="24"/>
        </w:rPr>
        <w:t>Émoluments du personnel :</w:t>
      </w:r>
      <w:r>
        <w:rPr>
          <w:rFonts w:ascii="Bookman Old Style" w:hAnsi="Bookman Old Style"/>
          <w:sz w:val="24"/>
        </w:rPr>
        <w:t xml:space="preserve"> </w:t>
      </w:r>
    </w:p>
    <w:p w14:paraId="0FF88C8B" w14:textId="5117BA4F" w:rsidR="00D44753" w:rsidRPr="00D44753" w:rsidRDefault="003B1586" w:rsidP="00D44753">
      <w:pPr>
        <w:pStyle w:val="ListParagraph"/>
        <w:numPr>
          <w:ilvl w:val="2"/>
          <w:numId w:val="28"/>
        </w:numPr>
        <w:tabs>
          <w:tab w:val="left" w:pos="851"/>
        </w:tabs>
        <w:spacing w:after="0" w:line="240" w:lineRule="auto"/>
        <w:ind w:left="567" w:hanging="567"/>
        <w:jc w:val="both"/>
        <w:rPr>
          <w:rFonts w:ascii="Bookman Old Style" w:hAnsi="Bookman Old Style"/>
          <w:sz w:val="24"/>
          <w:szCs w:val="24"/>
        </w:rPr>
      </w:pPr>
      <w:r w:rsidRPr="00D44753">
        <w:rPr>
          <w:rFonts w:ascii="Bookman Old Style" w:hAnsi="Bookman Old Style"/>
          <w:sz w:val="24"/>
        </w:rPr>
        <w:t>L'institution continue de reconnaître le rôle clé que joue le Secrétariat dans la gestion, la viabilité et la croissance de l'institution. C'est la force du Secrétariat et l'ossature solide des ressources humaines du Forum qui, dans une large mesure, rendent le Forum attrayant en tant que bénéficiaire du financement des donateurs.  Le budget pour l'exercice 2023/2024 prévoit le maintien du personnel actuel avec l'ajout d'un secrétaire de comité et d'un gestionnaire de programme, l'option du détachement n'ayant pas été très efficace. À cet égard, les fonds précédemment alloués aux indemnités de détachement seront réaffectés à ce poste. Cela contribuera grandement à renforcer les capacités requises au sein du département des affaires et programmes parlementaires.</w:t>
      </w:r>
    </w:p>
    <w:p w14:paraId="16535B44" w14:textId="77777777" w:rsidR="00D44753" w:rsidRPr="00D44753" w:rsidRDefault="00D44753" w:rsidP="00D44753">
      <w:pPr>
        <w:pStyle w:val="ListParagraph"/>
        <w:tabs>
          <w:tab w:val="left" w:pos="851"/>
        </w:tabs>
        <w:spacing w:after="0" w:line="240" w:lineRule="auto"/>
        <w:ind w:left="567" w:hanging="567"/>
        <w:jc w:val="both"/>
        <w:rPr>
          <w:rFonts w:ascii="Bookman Old Style" w:hAnsi="Bookman Old Style"/>
          <w:sz w:val="24"/>
          <w:szCs w:val="24"/>
        </w:rPr>
      </w:pPr>
    </w:p>
    <w:p w14:paraId="6C246987" w14:textId="04EFECD1" w:rsidR="005374A9" w:rsidRPr="00D44753" w:rsidRDefault="007D76BB" w:rsidP="00D44753">
      <w:pPr>
        <w:pStyle w:val="ListParagraph"/>
        <w:keepNext/>
        <w:keepLines/>
        <w:numPr>
          <w:ilvl w:val="1"/>
          <w:numId w:val="28"/>
        </w:numPr>
        <w:spacing w:after="0" w:line="240" w:lineRule="auto"/>
        <w:ind w:left="567" w:hanging="567"/>
        <w:jc w:val="both"/>
        <w:rPr>
          <w:rFonts w:ascii="Bookman Old Style" w:hAnsi="Bookman Old Style"/>
          <w:b/>
          <w:bCs/>
          <w:sz w:val="24"/>
          <w:szCs w:val="24"/>
        </w:rPr>
      </w:pPr>
      <w:r w:rsidRPr="00D44753">
        <w:rPr>
          <w:rFonts w:ascii="Bookman Old Style" w:hAnsi="Bookman Old Style"/>
          <w:sz w:val="24"/>
        </w:rPr>
        <w:t xml:space="preserve">Dans cette proposition de budget, les deux postes précédemment financés par des bailleurs de fonds sont également pris en charge, à savoir le directeur de la gouvernance d'entreprise et le secrétaire du comité et gestionnaire de programme (DGHR). Heureusement, les postes ont également été budgétisés sur l'année 2022/2023 en raison de l'incertitude du financement externe au moment de la budgétisation, ce qui signifie que l'augmentation nette de la facture salariale pour l'exercice 2023/2024 n'est que de N$ 1,4 million, aggravée par le fait que la provision pour détachement a été exclue. </w:t>
      </w:r>
      <w:r w:rsidR="005374A9" w:rsidRPr="00D44753">
        <w:rPr>
          <w:rFonts w:ascii="Bookman Old Style" w:hAnsi="Bookman Old Style"/>
          <w:b/>
          <w:sz w:val="24"/>
        </w:rPr>
        <w:t>Risque majeur : Émoluments du personnel</w:t>
      </w:r>
    </w:p>
    <w:p w14:paraId="4E9C2384" w14:textId="3288BB28" w:rsidR="00A12F94" w:rsidRPr="009B2C35" w:rsidRDefault="00B740CF" w:rsidP="00D44753">
      <w:pPr>
        <w:pStyle w:val="ListParagraph"/>
        <w:keepNext/>
        <w:keepLines/>
        <w:numPr>
          <w:ilvl w:val="2"/>
          <w:numId w:val="28"/>
        </w:numPr>
        <w:spacing w:after="0" w:line="240" w:lineRule="auto"/>
        <w:ind w:left="567" w:hanging="567"/>
        <w:jc w:val="both"/>
        <w:rPr>
          <w:rFonts w:ascii="Bookman Old Style" w:hAnsi="Bookman Old Style"/>
          <w:sz w:val="24"/>
          <w:szCs w:val="24"/>
        </w:rPr>
      </w:pPr>
      <w:r>
        <w:rPr>
          <w:rFonts w:ascii="Bookman Old Style" w:hAnsi="Bookman Old Style"/>
          <w:sz w:val="24"/>
        </w:rPr>
        <w:t>Il convient de souligner que le modèle d'entreprise des organisations d'un niveau similaire à celui du Forum a toujours été de disposer d'une solide masse salariale permettant d'attirer des professionnels d'élite au sein de l'organisation, d'autant plus que peu de personnes possèdent les compétences spécialisées requises pour interagir avec les parlements et renforcer les capacités des parlementaires. Comparativement, la masse salariale du Forum continue d'être bien inférieure à celle d'autres organisations interparlementaires ou d'autres organes de la SADC tels que le secrétariat de la SADC. En fin de compte, le modèle économique des organisations interparlementaires en général, et du Forum en particulier, ne leur permet pas d'avoir une masse salariale inférieure à un certain montant (quel que soit le pourcentage par rapport aux recettes), car il est nécessaire de préserver certaines compétences essentielles pour maintenir l'organisation à flot et la rendre attrayante pour les partenaires de mise en œuvre, les collaborateurs et les donateurs et investisseurs potentiels.</w:t>
      </w:r>
    </w:p>
    <w:p w14:paraId="4280C952" w14:textId="77777777" w:rsidR="009B2C35" w:rsidRPr="00B61E56" w:rsidRDefault="009B2C35" w:rsidP="00D44753">
      <w:pPr>
        <w:pStyle w:val="ListParagraph"/>
        <w:keepNext/>
        <w:keepLines/>
        <w:spacing w:after="0" w:line="240" w:lineRule="auto"/>
        <w:ind w:left="567" w:hanging="567"/>
        <w:jc w:val="both"/>
        <w:rPr>
          <w:rFonts w:ascii="Bookman Old Style" w:hAnsi="Bookman Old Style"/>
          <w:sz w:val="24"/>
          <w:szCs w:val="24"/>
        </w:rPr>
      </w:pPr>
    </w:p>
    <w:p w14:paraId="6E29FA9E" w14:textId="77777777" w:rsidR="009B2C35" w:rsidRPr="009B2C35" w:rsidRDefault="00A12F94" w:rsidP="00D44753">
      <w:pPr>
        <w:pStyle w:val="ListParagraph"/>
        <w:numPr>
          <w:ilvl w:val="2"/>
          <w:numId w:val="28"/>
        </w:numPr>
        <w:spacing w:after="0" w:line="240" w:lineRule="auto"/>
        <w:ind w:left="567" w:hanging="567"/>
        <w:jc w:val="both"/>
        <w:rPr>
          <w:rFonts w:ascii="Bookman Old Style" w:hAnsi="Bookman Old Style"/>
          <w:sz w:val="24"/>
          <w:szCs w:val="24"/>
        </w:rPr>
      </w:pPr>
      <w:r>
        <w:rPr>
          <w:rFonts w:ascii="Bookman Old Style" w:hAnsi="Bookman Old Style"/>
          <w:sz w:val="24"/>
        </w:rPr>
        <w:t xml:space="preserve">La proportion de la masse salariale par rapport aux recettes globales de l'organisation, y compris le financement des donateurs, a été au </w:t>
      </w:r>
      <w:r>
        <w:rPr>
          <w:rFonts w:ascii="Bookman Old Style" w:hAnsi="Bookman Old Style"/>
          <w:sz w:val="24"/>
        </w:rPr>
        <w:lastRenderedPageBreak/>
        <w:t>maximum de 30% ces dernières années. Cependant, sans le financement des bailleurs de fonds, le pourcentage des salaires par rapport aux contributions des membres est de 81 %, tandis que le pourcentage des salaires par rapport au total des revenus budgétisés pour l'exercice 2023/2024, y compris les revenus conservés, est de 55 %.</w:t>
      </w:r>
    </w:p>
    <w:p w14:paraId="5B807DBA" w14:textId="77777777" w:rsidR="009B2C35" w:rsidRPr="009B2C35" w:rsidRDefault="009B2C35" w:rsidP="00D44753">
      <w:pPr>
        <w:pStyle w:val="ListParagraph"/>
        <w:spacing w:after="0" w:line="240" w:lineRule="auto"/>
        <w:ind w:left="0"/>
        <w:rPr>
          <w:rFonts w:ascii="Bookman Old Style" w:hAnsi="Bookman Old Style"/>
          <w:sz w:val="24"/>
        </w:rPr>
      </w:pPr>
    </w:p>
    <w:p w14:paraId="2EE91A05" w14:textId="1A51311B" w:rsidR="00E01BDC" w:rsidRPr="009B2C35" w:rsidRDefault="00CA0A0F" w:rsidP="00CD4BF7">
      <w:pPr>
        <w:pStyle w:val="ListParagraph"/>
        <w:numPr>
          <w:ilvl w:val="2"/>
          <w:numId w:val="28"/>
        </w:numPr>
        <w:spacing w:after="0" w:line="240" w:lineRule="auto"/>
        <w:ind w:left="709" w:hanging="709"/>
        <w:jc w:val="both"/>
        <w:rPr>
          <w:rFonts w:ascii="Bookman Old Style" w:hAnsi="Bookman Old Style"/>
          <w:sz w:val="24"/>
          <w:szCs w:val="24"/>
        </w:rPr>
      </w:pPr>
      <w:r>
        <w:rPr>
          <w:rFonts w:ascii="Bookman Old Style" w:hAnsi="Bookman Old Style"/>
          <w:sz w:val="24"/>
        </w:rPr>
        <w:t>Il est prévu que la masse salariale, en l'absence d'augmentation des contributions des membres, atteigne 99 % des contributions en 2026.</w:t>
      </w:r>
    </w:p>
    <w:p w14:paraId="1631812B" w14:textId="77777777" w:rsidR="009B2C35" w:rsidRPr="009B2C35" w:rsidRDefault="009B2C35" w:rsidP="00D44753">
      <w:pPr>
        <w:pStyle w:val="ListParagraph"/>
        <w:spacing w:after="0" w:line="240" w:lineRule="auto"/>
        <w:ind w:left="0"/>
        <w:rPr>
          <w:rFonts w:ascii="Bookman Old Style" w:hAnsi="Bookman Old Style"/>
          <w:sz w:val="24"/>
          <w:szCs w:val="24"/>
        </w:rPr>
      </w:pPr>
    </w:p>
    <w:p w14:paraId="611DBDDC" w14:textId="6DAE9735" w:rsidR="00AF69A5" w:rsidRPr="00B61E56" w:rsidRDefault="00AF69A5" w:rsidP="00CD4BF7">
      <w:pPr>
        <w:pStyle w:val="ListParagraph"/>
        <w:numPr>
          <w:ilvl w:val="2"/>
          <w:numId w:val="28"/>
        </w:numPr>
        <w:spacing w:after="0" w:line="240" w:lineRule="auto"/>
        <w:ind w:left="709" w:hanging="709"/>
        <w:jc w:val="both"/>
        <w:rPr>
          <w:rFonts w:ascii="Bookman Old Style" w:hAnsi="Bookman Old Style"/>
          <w:sz w:val="24"/>
          <w:szCs w:val="24"/>
        </w:rPr>
      </w:pPr>
      <w:r>
        <w:rPr>
          <w:rFonts w:ascii="Bookman Old Style" w:hAnsi="Bookman Old Style"/>
          <w:sz w:val="24"/>
        </w:rPr>
        <w:t>Les détails du budget des émoluments personnels sont fournis au point 5.3.</w:t>
      </w:r>
    </w:p>
    <w:p w14:paraId="4D5521B5" w14:textId="7E8A723C" w:rsidR="00B72AAA" w:rsidRPr="00B61E56" w:rsidRDefault="00E12F08" w:rsidP="00D44753">
      <w:pPr>
        <w:spacing w:after="0" w:line="240" w:lineRule="auto"/>
        <w:jc w:val="both"/>
        <w:rPr>
          <w:rFonts w:ascii="Bookman Old Style" w:hAnsi="Bookman Old Style"/>
          <w:sz w:val="24"/>
          <w:szCs w:val="24"/>
        </w:rPr>
      </w:pPr>
      <w:r>
        <w:rPr>
          <w:rFonts w:ascii="Bookman Old Style" w:hAnsi="Bookman Old Style"/>
          <w:sz w:val="24"/>
        </w:rPr>
        <w:t xml:space="preserve">  </w:t>
      </w:r>
    </w:p>
    <w:p w14:paraId="67DFFC59" w14:textId="77777777" w:rsidR="00C3263D" w:rsidRPr="00B61E56" w:rsidRDefault="00C3263D" w:rsidP="008D6F5A">
      <w:pPr>
        <w:pStyle w:val="ListParagraph"/>
        <w:numPr>
          <w:ilvl w:val="1"/>
          <w:numId w:val="28"/>
        </w:numPr>
        <w:spacing w:after="0" w:line="240" w:lineRule="auto"/>
        <w:ind w:left="567" w:hanging="567"/>
        <w:jc w:val="both"/>
        <w:rPr>
          <w:rFonts w:ascii="Bookman Old Style" w:hAnsi="Bookman Old Style"/>
          <w:sz w:val="24"/>
          <w:szCs w:val="24"/>
        </w:rPr>
      </w:pPr>
      <w:r>
        <w:rPr>
          <w:rFonts w:ascii="Bookman Old Style" w:hAnsi="Bookman Old Style"/>
          <w:b/>
          <w:sz w:val="24"/>
        </w:rPr>
        <w:t>Personnel détaché</w:t>
      </w:r>
    </w:p>
    <w:p w14:paraId="642EED6B" w14:textId="77777777" w:rsidR="009B2C35" w:rsidRDefault="00865917" w:rsidP="008D6F5A">
      <w:pPr>
        <w:pStyle w:val="ListParagraph"/>
        <w:spacing w:after="0" w:line="240" w:lineRule="auto"/>
        <w:ind w:left="567"/>
        <w:jc w:val="both"/>
        <w:rPr>
          <w:rFonts w:ascii="Bookman Old Style" w:hAnsi="Bookman Old Style"/>
          <w:sz w:val="24"/>
        </w:rPr>
      </w:pPr>
      <w:r>
        <w:rPr>
          <w:rFonts w:ascii="Bookman Old Style" w:hAnsi="Bookman Old Style"/>
          <w:sz w:val="24"/>
        </w:rPr>
        <w:t>En ce qui concerne le personnel détaché, il est envisagé que le poste clé de directeur des programmes soit détaché par un député du Parlement à temps plein. Il est important de noter que, bien que le personnel détaché ait permis de réaliser d'importantes économies, les personnes détachées à temps partiel ont, de manière compréhensible, donné la priorité à leurs parlements nationaux avant le Forum, d'où la nécessité de détacher des personnes à temps plein pour les postes clés.</w:t>
      </w:r>
    </w:p>
    <w:p w14:paraId="2536D474" w14:textId="6F492575" w:rsidR="002003BF" w:rsidRPr="00B61E56" w:rsidRDefault="00865917" w:rsidP="008D6F5A">
      <w:pPr>
        <w:pStyle w:val="ListParagraph"/>
        <w:spacing w:after="0" w:line="240" w:lineRule="auto"/>
        <w:ind w:left="567" w:hanging="567"/>
        <w:jc w:val="both"/>
        <w:rPr>
          <w:rFonts w:ascii="Bookman Old Style" w:hAnsi="Bookman Old Style"/>
          <w:sz w:val="24"/>
          <w:szCs w:val="24"/>
        </w:rPr>
      </w:pPr>
      <w:r>
        <w:rPr>
          <w:rFonts w:ascii="Bookman Old Style" w:hAnsi="Bookman Old Style"/>
          <w:sz w:val="24"/>
        </w:rPr>
        <w:t xml:space="preserve"> </w:t>
      </w:r>
    </w:p>
    <w:p w14:paraId="692E1870" w14:textId="77777777" w:rsidR="003B4D57" w:rsidRPr="00B61E56" w:rsidRDefault="003B4D57" w:rsidP="008D6F5A">
      <w:pPr>
        <w:pStyle w:val="ListParagraph"/>
        <w:numPr>
          <w:ilvl w:val="1"/>
          <w:numId w:val="28"/>
        </w:numPr>
        <w:spacing w:after="0" w:line="240" w:lineRule="auto"/>
        <w:ind w:left="567" w:hanging="567"/>
        <w:jc w:val="both"/>
        <w:rPr>
          <w:rFonts w:ascii="Bookman Old Style" w:hAnsi="Bookman Old Style"/>
          <w:b/>
          <w:bCs/>
          <w:sz w:val="24"/>
          <w:szCs w:val="24"/>
        </w:rPr>
      </w:pPr>
      <w:r>
        <w:rPr>
          <w:rFonts w:ascii="Bookman Old Style" w:hAnsi="Bookman Old Style"/>
          <w:b/>
          <w:sz w:val="24"/>
        </w:rPr>
        <w:t>Réseautage et visibilité</w:t>
      </w:r>
    </w:p>
    <w:p w14:paraId="34910BEE" w14:textId="2F2FD19B" w:rsidR="00A45405" w:rsidRPr="00B61E56" w:rsidRDefault="00004E8B" w:rsidP="008D6F5A">
      <w:pPr>
        <w:pStyle w:val="ListParagraph"/>
        <w:spacing w:after="0" w:line="240" w:lineRule="auto"/>
        <w:ind w:left="567"/>
        <w:jc w:val="both"/>
        <w:rPr>
          <w:rFonts w:ascii="Bookman Old Style" w:hAnsi="Bookman Old Style"/>
          <w:sz w:val="24"/>
          <w:szCs w:val="24"/>
        </w:rPr>
      </w:pPr>
      <w:r>
        <w:rPr>
          <w:rFonts w:ascii="Bookman Old Style" w:hAnsi="Bookman Old Style"/>
          <w:sz w:val="24"/>
        </w:rPr>
        <w:t>Au fur et à mesure de la transition du Forum vers un Parlement régional, il y a eu une demande croissante pour que le Forum participe aux réunions d'autres organes parlementaires régionaux et mondiaux tels que la SADC, le Parlement panafricain (PAP)., l’Accord de partenariat de Cotonou (APC) et l'Union interparlementaire (UIP) afin de promouvoir la collaboration et la visibilité. En outre, le groupe de travail sur la transformation, composé du personnel du Secrétariat de la SADC et du Secrétariat de la SADC PF, continuera également à se réunir, conformément à la résolution du 41</w:t>
      </w:r>
      <w:r>
        <w:rPr>
          <w:rFonts w:ascii="Bookman Old Style" w:hAnsi="Bookman Old Style"/>
          <w:sz w:val="24"/>
          <w:vertAlign w:val="superscript"/>
        </w:rPr>
        <w:t>e</w:t>
      </w:r>
      <w:r>
        <w:rPr>
          <w:rFonts w:ascii="Bookman Old Style" w:hAnsi="Bookman Old Style"/>
          <w:sz w:val="24"/>
        </w:rPr>
        <w:t xml:space="preserve"> Sommet des chefs d'État et de gouvernement et du Conseil des ministres de la SADC qui s'est réuni en août 2021 au Malawi.  </w:t>
      </w:r>
    </w:p>
    <w:p w14:paraId="5888FDD9" w14:textId="77777777" w:rsidR="004219E0" w:rsidRPr="00B61E56" w:rsidRDefault="004219E0" w:rsidP="008D6F5A">
      <w:pPr>
        <w:pStyle w:val="ListParagraph"/>
        <w:spacing w:after="0" w:line="240" w:lineRule="auto"/>
        <w:ind w:left="567" w:hanging="567"/>
        <w:jc w:val="both"/>
        <w:rPr>
          <w:rFonts w:ascii="Bookman Old Style" w:hAnsi="Bookman Old Style"/>
          <w:sz w:val="24"/>
          <w:szCs w:val="24"/>
        </w:rPr>
      </w:pPr>
    </w:p>
    <w:p w14:paraId="50D6E4F9" w14:textId="77777777" w:rsidR="00A720E1" w:rsidRPr="00B61E56" w:rsidRDefault="00A720E1" w:rsidP="008D6F5A">
      <w:pPr>
        <w:pStyle w:val="ListParagraph"/>
        <w:numPr>
          <w:ilvl w:val="1"/>
          <w:numId w:val="28"/>
        </w:numPr>
        <w:spacing w:after="0" w:line="240" w:lineRule="auto"/>
        <w:ind w:left="567" w:hanging="567"/>
        <w:jc w:val="both"/>
        <w:rPr>
          <w:rFonts w:ascii="Bookman Old Style" w:hAnsi="Bookman Old Style"/>
          <w:b/>
          <w:bCs/>
          <w:sz w:val="24"/>
          <w:szCs w:val="24"/>
        </w:rPr>
      </w:pPr>
      <w:r>
        <w:rPr>
          <w:rFonts w:ascii="Bookman Old Style" w:hAnsi="Bookman Old Style"/>
          <w:b/>
          <w:sz w:val="24"/>
        </w:rPr>
        <w:t>Facteurs de coûts et contexte</w:t>
      </w:r>
    </w:p>
    <w:p w14:paraId="0670AFB8" w14:textId="7756FBB5" w:rsidR="004219E0" w:rsidRPr="009B2C35" w:rsidRDefault="00A720E1" w:rsidP="008D6F5A">
      <w:pPr>
        <w:pStyle w:val="ListParagraph"/>
        <w:numPr>
          <w:ilvl w:val="2"/>
          <w:numId w:val="28"/>
        </w:numPr>
        <w:spacing w:after="0" w:line="240" w:lineRule="auto"/>
        <w:ind w:left="851" w:hanging="851"/>
        <w:jc w:val="both"/>
        <w:rPr>
          <w:rFonts w:ascii="Bookman Old Style" w:hAnsi="Bookman Old Style"/>
          <w:sz w:val="24"/>
          <w:szCs w:val="24"/>
        </w:rPr>
      </w:pPr>
      <w:r>
        <w:rPr>
          <w:rFonts w:ascii="Bookman Old Style" w:hAnsi="Bookman Old Style"/>
          <w:sz w:val="24"/>
        </w:rPr>
        <w:t>Les coûts des biens et services continuent d'augmenter en raison de l'inflation et de la dépréciation du rand sud-africain/dollar namibien par rapport aux principales devises telles que la livre sterling et le dollar américain. Malheureusement, l'inflation et la dépréciation des monnaies s'étendent à la quasi-totalité des pays d'Afrique australe et ont un impact sur les coûts des activités de l'institution, dont la plupart sont réparties entre les pays membres conformément à la tradition de la SADC PF.</w:t>
      </w:r>
    </w:p>
    <w:p w14:paraId="5F0346CA" w14:textId="77777777" w:rsidR="009B2C35" w:rsidRPr="00B61E56" w:rsidRDefault="009B2C35" w:rsidP="008D6F5A">
      <w:pPr>
        <w:pStyle w:val="ListParagraph"/>
        <w:spacing w:after="0" w:line="240" w:lineRule="auto"/>
        <w:ind w:left="567" w:hanging="567"/>
        <w:jc w:val="both"/>
        <w:rPr>
          <w:rFonts w:ascii="Bookman Old Style" w:hAnsi="Bookman Old Style"/>
          <w:sz w:val="24"/>
          <w:szCs w:val="24"/>
        </w:rPr>
      </w:pPr>
    </w:p>
    <w:p w14:paraId="04C7D7FE" w14:textId="35EDFF87" w:rsidR="002003BF" w:rsidRPr="00B61E56" w:rsidRDefault="0011293D" w:rsidP="008D6F5A">
      <w:pPr>
        <w:pStyle w:val="ListParagraph"/>
        <w:numPr>
          <w:ilvl w:val="2"/>
          <w:numId w:val="28"/>
        </w:numPr>
        <w:spacing w:after="0" w:line="240" w:lineRule="auto"/>
        <w:ind w:left="851" w:hanging="851"/>
        <w:jc w:val="both"/>
        <w:rPr>
          <w:rFonts w:ascii="Bookman Old Style" w:hAnsi="Bookman Old Style"/>
          <w:sz w:val="24"/>
          <w:szCs w:val="24"/>
        </w:rPr>
      </w:pPr>
      <w:r>
        <w:rPr>
          <w:rFonts w:ascii="Bookman Old Style" w:hAnsi="Bookman Old Style"/>
          <w:sz w:val="24"/>
        </w:rPr>
        <w:t xml:space="preserve">Comme ce fut le cas pour la proposition de budget 2022/2023, l'approche adoptée pour la préparation de la proposition de budget 2023/2024 a été prudente. Le Secrétariat a fait preuve d'innovation en assurant la gestion des coûts, qui a heureusement été renforcée par la nouvelle façon de faire </w:t>
      </w:r>
      <w:proofErr w:type="gramStart"/>
      <w:r>
        <w:rPr>
          <w:rFonts w:ascii="Bookman Old Style" w:hAnsi="Bookman Old Style"/>
          <w:sz w:val="24"/>
        </w:rPr>
        <w:t>des affaires occasionnée</w:t>
      </w:r>
      <w:proofErr w:type="gramEnd"/>
      <w:r>
        <w:rPr>
          <w:rFonts w:ascii="Bookman Old Style" w:hAnsi="Bookman Old Style"/>
          <w:sz w:val="24"/>
        </w:rPr>
        <w:t xml:space="preserve"> par la pandémie de </w:t>
      </w:r>
      <w:r>
        <w:rPr>
          <w:rFonts w:ascii="Bookman Old Style" w:hAnsi="Bookman Old Style"/>
          <w:sz w:val="24"/>
        </w:rPr>
        <w:lastRenderedPageBreak/>
        <w:t>COVID19. En outre, les activités principales du Forum ont été classées par ordre de priorité.</w:t>
      </w:r>
    </w:p>
    <w:p w14:paraId="2EB01503" w14:textId="77777777" w:rsidR="00370E51" w:rsidRPr="00B61E56" w:rsidRDefault="00370E51" w:rsidP="00D44753">
      <w:pPr>
        <w:pStyle w:val="ListParagraph"/>
        <w:spacing w:after="0" w:line="240" w:lineRule="auto"/>
        <w:ind w:left="0"/>
        <w:jc w:val="both"/>
        <w:rPr>
          <w:rFonts w:ascii="Bookman Old Style" w:hAnsi="Bookman Old Style"/>
          <w:b/>
          <w:bCs/>
          <w:sz w:val="24"/>
          <w:szCs w:val="24"/>
        </w:rPr>
      </w:pPr>
    </w:p>
    <w:p w14:paraId="4C1B90A4" w14:textId="77777777" w:rsidR="00C86336" w:rsidRPr="00B61E56" w:rsidRDefault="004A596E" w:rsidP="008D6F5A">
      <w:pPr>
        <w:pStyle w:val="ListParagraph"/>
        <w:numPr>
          <w:ilvl w:val="1"/>
          <w:numId w:val="28"/>
        </w:numPr>
        <w:spacing w:after="0" w:line="240" w:lineRule="auto"/>
        <w:ind w:left="709" w:hanging="709"/>
        <w:jc w:val="both"/>
        <w:rPr>
          <w:rFonts w:ascii="Bookman Old Style" w:hAnsi="Bookman Old Style"/>
          <w:sz w:val="24"/>
          <w:szCs w:val="24"/>
        </w:rPr>
      </w:pPr>
      <w:r>
        <w:rPr>
          <w:rFonts w:ascii="Bookman Old Style" w:hAnsi="Bookman Old Style"/>
          <w:b/>
          <w:bCs/>
          <w:sz w:val="24"/>
        </w:rPr>
        <w:t>Préoccupation persistante :</w:t>
      </w:r>
      <w:r>
        <w:rPr>
          <w:rFonts w:ascii="Bookman Old Style" w:hAnsi="Bookman Old Style"/>
          <w:sz w:val="24"/>
        </w:rPr>
        <w:t xml:space="preserve"> </w:t>
      </w:r>
    </w:p>
    <w:p w14:paraId="7764F3F5" w14:textId="063A5C40" w:rsidR="00C447E3" w:rsidRPr="00B61E56" w:rsidRDefault="00356405" w:rsidP="008D6F5A">
      <w:pPr>
        <w:spacing w:after="0" w:line="240" w:lineRule="auto"/>
        <w:ind w:left="709"/>
        <w:jc w:val="both"/>
        <w:rPr>
          <w:rFonts w:ascii="Bookman Old Style" w:hAnsi="Bookman Old Style"/>
          <w:sz w:val="24"/>
          <w:szCs w:val="24"/>
        </w:rPr>
      </w:pPr>
      <w:r>
        <w:rPr>
          <w:rFonts w:ascii="Bookman Old Style" w:hAnsi="Bookman Old Style"/>
          <w:sz w:val="24"/>
        </w:rPr>
        <w:t xml:space="preserve">Le budget proposé pour 2023/2024 prévoit un excédent minimal par rapport aux années précédentes. Il est donc impératif que les membres examinent la situation financière de l'institution au vu de la résolution de ne pas augmenter les contributions des membres par rapport à l'augmentation constante des coûts due à l'inflation, à la dépréciation de la monnaie locale, à la hausse des taux d'intérêt et à l'absence de financement des donateurs. D'ici 2026, une stratégie doit déjà être mise en œuvre pour faire face aux risques qui pèsent sur la continuité de l'activité. </w:t>
      </w:r>
    </w:p>
    <w:p w14:paraId="4C519B09" w14:textId="7A5BF7BC" w:rsidR="0011293D" w:rsidRPr="00B61E56" w:rsidRDefault="0011293D" w:rsidP="00D44753">
      <w:pPr>
        <w:pStyle w:val="ListParagraph"/>
        <w:spacing w:after="0" w:line="240" w:lineRule="auto"/>
        <w:ind w:left="0"/>
        <w:jc w:val="both"/>
        <w:rPr>
          <w:rFonts w:ascii="Bookman Old Style" w:hAnsi="Bookman Old Style"/>
          <w:b/>
          <w:bCs/>
          <w:sz w:val="24"/>
          <w:szCs w:val="24"/>
        </w:rPr>
      </w:pPr>
    </w:p>
    <w:p w14:paraId="3D115DD6" w14:textId="5E12BB29" w:rsidR="00CF1A6B" w:rsidRPr="00B61E56" w:rsidRDefault="00CF1A6B" w:rsidP="008D6F5A">
      <w:pPr>
        <w:pStyle w:val="ListParagraph"/>
        <w:numPr>
          <w:ilvl w:val="0"/>
          <w:numId w:val="29"/>
        </w:numPr>
        <w:spacing w:after="0" w:line="240" w:lineRule="auto"/>
        <w:ind w:left="567" w:hanging="567"/>
        <w:jc w:val="both"/>
        <w:rPr>
          <w:rFonts w:ascii="Bookman Old Style" w:hAnsi="Bookman Old Style"/>
          <w:b/>
          <w:bCs/>
          <w:sz w:val="24"/>
          <w:szCs w:val="24"/>
        </w:rPr>
      </w:pPr>
      <w:r>
        <w:rPr>
          <w:rFonts w:ascii="Bookman Old Style" w:hAnsi="Bookman Old Style"/>
          <w:b/>
          <w:sz w:val="24"/>
        </w:rPr>
        <w:t>PROPOSITION DE BUDGET 2023/2024</w:t>
      </w:r>
    </w:p>
    <w:p w14:paraId="58AFA846" w14:textId="18C90EAC" w:rsidR="00F56C57" w:rsidRPr="00B61E56" w:rsidRDefault="00A31CA7" w:rsidP="008D6F5A">
      <w:pPr>
        <w:pStyle w:val="ListParagraph"/>
        <w:spacing w:after="0" w:line="240" w:lineRule="auto"/>
        <w:ind w:left="567"/>
        <w:jc w:val="both"/>
        <w:rPr>
          <w:rFonts w:ascii="Bookman Old Style" w:hAnsi="Bookman Old Style"/>
          <w:sz w:val="24"/>
          <w:szCs w:val="24"/>
        </w:rPr>
      </w:pPr>
      <w:r>
        <w:rPr>
          <w:rFonts w:ascii="Bookman Old Style" w:hAnsi="Bookman Old Style"/>
          <w:sz w:val="24"/>
        </w:rPr>
        <w:t>Le budget proposé pour l'exercice 2022/2023 est joint à l'</w:t>
      </w:r>
      <w:r>
        <w:rPr>
          <w:rFonts w:ascii="Bookman Old Style" w:hAnsi="Bookman Old Style"/>
          <w:b/>
          <w:bCs/>
          <w:sz w:val="24"/>
        </w:rPr>
        <w:t>annexe B001 avec les tableaux d'appui A à C et 1 à 20.</w:t>
      </w:r>
    </w:p>
    <w:p w14:paraId="625D18B4" w14:textId="77777777" w:rsidR="00EF544E" w:rsidRPr="00B61E56" w:rsidRDefault="00EF544E" w:rsidP="008D6F5A">
      <w:pPr>
        <w:spacing w:after="0" w:line="240" w:lineRule="auto"/>
        <w:ind w:left="567" w:hanging="567"/>
        <w:jc w:val="both"/>
        <w:rPr>
          <w:rFonts w:ascii="Bookman Old Style" w:hAnsi="Bookman Old Style"/>
          <w:sz w:val="24"/>
          <w:szCs w:val="24"/>
        </w:rPr>
      </w:pPr>
    </w:p>
    <w:p w14:paraId="5B375C93" w14:textId="329EE90F" w:rsidR="00EF544E" w:rsidRPr="00B61E56" w:rsidRDefault="00EF544E" w:rsidP="008D6F5A">
      <w:pPr>
        <w:spacing w:after="0" w:line="240" w:lineRule="auto"/>
        <w:ind w:left="567" w:hanging="567"/>
        <w:jc w:val="both"/>
        <w:rPr>
          <w:rFonts w:ascii="Bookman Old Style" w:hAnsi="Bookman Old Style"/>
          <w:sz w:val="24"/>
          <w:szCs w:val="24"/>
        </w:rPr>
      </w:pPr>
    </w:p>
    <w:p w14:paraId="300AC0E3" w14:textId="25FCC797" w:rsidR="000D3CDE" w:rsidRPr="00B61E56" w:rsidRDefault="006C031A" w:rsidP="008D6F5A">
      <w:pPr>
        <w:pStyle w:val="ListParagraph"/>
        <w:keepNext/>
        <w:keepLines/>
        <w:numPr>
          <w:ilvl w:val="0"/>
          <w:numId w:val="29"/>
        </w:numPr>
        <w:spacing w:after="0" w:line="240" w:lineRule="auto"/>
        <w:ind w:left="567" w:hanging="567"/>
        <w:jc w:val="both"/>
        <w:rPr>
          <w:rFonts w:ascii="Bookman Old Style" w:hAnsi="Bookman Old Style"/>
          <w:b/>
          <w:sz w:val="24"/>
          <w:szCs w:val="24"/>
        </w:rPr>
      </w:pPr>
      <w:r>
        <w:rPr>
          <w:rFonts w:ascii="Bookman Old Style" w:hAnsi="Bookman Old Style"/>
          <w:b/>
          <w:sz w:val="24"/>
        </w:rPr>
        <w:t xml:space="preserve">NOTES AU BUDGET : REVENUS PRÉVUS </w:t>
      </w:r>
    </w:p>
    <w:p w14:paraId="2796801C" w14:textId="77777777" w:rsidR="0067097C" w:rsidRPr="00B61E56" w:rsidRDefault="0067097C" w:rsidP="008D6F5A">
      <w:pPr>
        <w:pStyle w:val="ListParagraph"/>
        <w:keepNext/>
        <w:keepLines/>
        <w:spacing w:after="0" w:line="240" w:lineRule="auto"/>
        <w:ind w:left="567" w:hanging="567"/>
        <w:jc w:val="both"/>
        <w:rPr>
          <w:rFonts w:ascii="Bookman Old Style" w:hAnsi="Bookman Old Style"/>
          <w:b/>
          <w:bCs/>
          <w:sz w:val="24"/>
          <w:szCs w:val="24"/>
        </w:rPr>
      </w:pPr>
    </w:p>
    <w:p w14:paraId="53BD7C20" w14:textId="77777777" w:rsidR="0067097C" w:rsidRPr="00B61E56" w:rsidRDefault="0067097C" w:rsidP="008D6F5A">
      <w:pPr>
        <w:pStyle w:val="ListParagraph"/>
        <w:keepNext/>
        <w:keepLines/>
        <w:numPr>
          <w:ilvl w:val="1"/>
          <w:numId w:val="29"/>
        </w:numPr>
        <w:spacing w:after="0" w:line="240" w:lineRule="auto"/>
        <w:ind w:left="567" w:hanging="567"/>
        <w:jc w:val="both"/>
        <w:rPr>
          <w:rFonts w:ascii="Bookman Old Style" w:hAnsi="Bookman Old Style"/>
          <w:b/>
          <w:bCs/>
          <w:sz w:val="24"/>
          <w:szCs w:val="24"/>
        </w:rPr>
      </w:pPr>
      <w:r>
        <w:rPr>
          <w:rFonts w:ascii="Bookman Old Style" w:hAnsi="Bookman Old Style"/>
          <w:b/>
          <w:sz w:val="24"/>
        </w:rPr>
        <w:t>L'article 21 de la Constitution de de la SADC PF prévoit ce qui suit concernant ses sources de financement</w:t>
      </w:r>
    </w:p>
    <w:p w14:paraId="737AC2E1" w14:textId="77777777" w:rsidR="00DF77E9" w:rsidRPr="00794787" w:rsidRDefault="00DF77E9" w:rsidP="008D6F5A">
      <w:pPr>
        <w:pStyle w:val="NoSpacing"/>
        <w:keepNext/>
        <w:keepLines/>
        <w:ind w:left="567" w:hanging="567"/>
        <w:jc w:val="both"/>
        <w:rPr>
          <w:rFonts w:ascii="Bookman Old Style" w:hAnsi="Bookman Old Style"/>
          <w:szCs w:val="24"/>
        </w:rPr>
      </w:pPr>
    </w:p>
    <w:p w14:paraId="274FBC2E" w14:textId="5BBCC267" w:rsidR="0067097C" w:rsidRPr="00B61E56" w:rsidRDefault="0067097C" w:rsidP="008D6F5A">
      <w:pPr>
        <w:pStyle w:val="NoSpacing"/>
        <w:keepNext/>
        <w:keepLines/>
        <w:ind w:left="567" w:hanging="567"/>
        <w:jc w:val="both"/>
        <w:rPr>
          <w:rFonts w:ascii="Bookman Old Style" w:hAnsi="Bookman Old Style"/>
          <w:szCs w:val="24"/>
        </w:rPr>
      </w:pPr>
      <w:r>
        <w:rPr>
          <w:rFonts w:ascii="Bookman Old Style" w:hAnsi="Bookman Old Style"/>
        </w:rPr>
        <w:t>Les finances du Forum proviennent des sources suivantes :</w:t>
      </w:r>
    </w:p>
    <w:p w14:paraId="38F30169" w14:textId="77777777" w:rsidR="0067097C" w:rsidRPr="00794787" w:rsidRDefault="0067097C" w:rsidP="008D6F5A">
      <w:pPr>
        <w:pStyle w:val="NoSpacing"/>
        <w:keepNext/>
        <w:keepLines/>
        <w:ind w:left="567" w:hanging="567"/>
        <w:jc w:val="both"/>
        <w:rPr>
          <w:rFonts w:ascii="Bookman Old Style" w:hAnsi="Bookman Old Style"/>
          <w:szCs w:val="24"/>
        </w:rPr>
      </w:pPr>
    </w:p>
    <w:p w14:paraId="5D89E4AC" w14:textId="77777777" w:rsidR="0067097C" w:rsidRPr="00B61E56" w:rsidRDefault="0067097C" w:rsidP="008D6F5A">
      <w:pPr>
        <w:pStyle w:val="NoSpacing"/>
        <w:keepNext/>
        <w:keepLines/>
        <w:numPr>
          <w:ilvl w:val="0"/>
          <w:numId w:val="7"/>
        </w:numPr>
        <w:ind w:left="567" w:hanging="567"/>
        <w:jc w:val="both"/>
        <w:rPr>
          <w:rFonts w:ascii="Bookman Old Style" w:hAnsi="Bookman Old Style"/>
          <w:szCs w:val="24"/>
        </w:rPr>
      </w:pPr>
      <w:proofErr w:type="gramStart"/>
      <w:r>
        <w:rPr>
          <w:rFonts w:ascii="Bookman Old Style" w:hAnsi="Bookman Old Style"/>
        </w:rPr>
        <w:t>les</w:t>
      </w:r>
      <w:proofErr w:type="gramEnd"/>
      <w:r>
        <w:rPr>
          <w:rFonts w:ascii="Bookman Old Style" w:hAnsi="Bookman Old Style"/>
        </w:rPr>
        <w:t xml:space="preserve"> contributions annuelles obligatoires des Parlements membres, qui sont déterminées par l'Assemblée plénière sur recommandation du Comité exécutif ;</w:t>
      </w:r>
    </w:p>
    <w:p w14:paraId="0E1677EC" w14:textId="77777777" w:rsidR="0067097C" w:rsidRPr="00794787" w:rsidRDefault="0067097C" w:rsidP="008D6F5A">
      <w:pPr>
        <w:pStyle w:val="NoSpacing"/>
        <w:ind w:left="567" w:hanging="567"/>
        <w:jc w:val="both"/>
        <w:rPr>
          <w:rFonts w:ascii="Bookman Old Style" w:hAnsi="Bookman Old Style"/>
          <w:szCs w:val="24"/>
        </w:rPr>
      </w:pPr>
    </w:p>
    <w:p w14:paraId="0F035F9F" w14:textId="77777777" w:rsidR="0067097C" w:rsidRPr="00B61E56" w:rsidRDefault="0067097C" w:rsidP="008D6F5A">
      <w:pPr>
        <w:pStyle w:val="NoSpacing"/>
        <w:ind w:left="567" w:hanging="567"/>
        <w:jc w:val="both"/>
        <w:rPr>
          <w:rFonts w:ascii="Bookman Old Style" w:hAnsi="Bookman Old Style"/>
          <w:szCs w:val="24"/>
        </w:rPr>
      </w:pPr>
      <w:r>
        <w:rPr>
          <w:rFonts w:ascii="Bookman Old Style" w:hAnsi="Bookman Old Style"/>
        </w:rPr>
        <w:t>(b)</w:t>
      </w:r>
      <w:r>
        <w:rPr>
          <w:rFonts w:ascii="Bookman Old Style" w:hAnsi="Bookman Old Style"/>
        </w:rPr>
        <w:tab/>
        <w:t xml:space="preserve">des subventions ou des dons des gouvernements, de la SADC, d'autres organisations internationales et d'institutions caritatives, y compris des groupements parlementaires internationaux ; </w:t>
      </w:r>
    </w:p>
    <w:p w14:paraId="0F7803CC" w14:textId="77777777" w:rsidR="0067097C" w:rsidRPr="00794787" w:rsidRDefault="0067097C" w:rsidP="008D6F5A">
      <w:pPr>
        <w:pStyle w:val="NoSpacing"/>
        <w:ind w:left="567" w:hanging="567"/>
        <w:jc w:val="both"/>
        <w:rPr>
          <w:rFonts w:ascii="Bookman Old Style" w:hAnsi="Bookman Old Style"/>
          <w:szCs w:val="24"/>
        </w:rPr>
      </w:pPr>
    </w:p>
    <w:p w14:paraId="0A3662F5" w14:textId="77777777" w:rsidR="0067097C" w:rsidRPr="00B61E56" w:rsidRDefault="0067097C" w:rsidP="008D6F5A">
      <w:pPr>
        <w:pStyle w:val="NoSpacing"/>
        <w:ind w:left="567" w:hanging="567"/>
        <w:jc w:val="both"/>
        <w:rPr>
          <w:rFonts w:ascii="Bookman Old Style" w:hAnsi="Bookman Old Style"/>
          <w:szCs w:val="24"/>
        </w:rPr>
      </w:pPr>
      <w:r>
        <w:rPr>
          <w:rFonts w:ascii="Bookman Old Style" w:hAnsi="Bookman Old Style"/>
        </w:rPr>
        <w:t>(c)</w:t>
      </w:r>
      <w:r>
        <w:rPr>
          <w:rFonts w:ascii="Bookman Old Style" w:hAnsi="Bookman Old Style"/>
        </w:rPr>
        <w:tab/>
        <w:t>les différentes activités de collecte de fonds approuvées par l'Assemblée plénière selon les recommandations du Comité exécutif ; et</w:t>
      </w:r>
    </w:p>
    <w:p w14:paraId="637F0D2B" w14:textId="77777777" w:rsidR="0067097C" w:rsidRPr="00794787" w:rsidRDefault="0067097C" w:rsidP="008D6F5A">
      <w:pPr>
        <w:pStyle w:val="NoSpacing"/>
        <w:ind w:left="567" w:hanging="567"/>
        <w:jc w:val="both"/>
        <w:rPr>
          <w:rFonts w:ascii="Bookman Old Style" w:hAnsi="Bookman Old Style"/>
          <w:szCs w:val="24"/>
        </w:rPr>
      </w:pPr>
    </w:p>
    <w:p w14:paraId="1C29255B" w14:textId="77777777" w:rsidR="0067097C" w:rsidRPr="00B61E56" w:rsidRDefault="0067097C" w:rsidP="008D6F5A">
      <w:pPr>
        <w:pStyle w:val="NoSpacing"/>
        <w:ind w:left="567" w:hanging="567"/>
        <w:jc w:val="both"/>
        <w:rPr>
          <w:rFonts w:ascii="Bookman Old Style" w:hAnsi="Bookman Old Style"/>
          <w:szCs w:val="24"/>
        </w:rPr>
      </w:pPr>
      <w:r>
        <w:rPr>
          <w:rFonts w:ascii="Bookman Old Style" w:hAnsi="Bookman Old Style"/>
        </w:rPr>
        <w:t>(d)</w:t>
      </w:r>
      <w:r>
        <w:rPr>
          <w:rFonts w:ascii="Bookman Old Style" w:hAnsi="Bookman Old Style"/>
        </w:rPr>
        <w:tab/>
        <w:t>toute autre source approuvée par l'Assemblée plénière.</w:t>
      </w:r>
    </w:p>
    <w:p w14:paraId="718ADBC3" w14:textId="77777777" w:rsidR="00AE79F2" w:rsidRPr="00B61E56" w:rsidRDefault="00AE79F2" w:rsidP="00D44753">
      <w:pPr>
        <w:pStyle w:val="ListParagraph"/>
        <w:spacing w:after="0" w:line="240" w:lineRule="auto"/>
        <w:ind w:left="0" w:hanging="709"/>
        <w:jc w:val="both"/>
        <w:rPr>
          <w:rFonts w:ascii="Bookman Old Style" w:hAnsi="Bookman Old Style"/>
          <w:b/>
          <w:sz w:val="24"/>
          <w:szCs w:val="24"/>
        </w:rPr>
      </w:pPr>
    </w:p>
    <w:p w14:paraId="0764264D" w14:textId="77777777" w:rsidR="00E111F6" w:rsidRPr="00B61E56" w:rsidRDefault="00E111F6" w:rsidP="00D44753">
      <w:pPr>
        <w:spacing w:after="0" w:line="240" w:lineRule="auto"/>
        <w:ind w:hanging="709"/>
        <w:jc w:val="both"/>
        <w:rPr>
          <w:rFonts w:ascii="Bookman Old Style" w:hAnsi="Bookman Old Style"/>
          <w:b/>
          <w:sz w:val="24"/>
          <w:szCs w:val="24"/>
        </w:rPr>
      </w:pPr>
    </w:p>
    <w:p w14:paraId="771DC185" w14:textId="1F2B4D50" w:rsidR="00FE5FEE" w:rsidRPr="00B61E56" w:rsidRDefault="00E111F6" w:rsidP="008D6F5A">
      <w:pPr>
        <w:spacing w:after="0" w:line="240" w:lineRule="auto"/>
        <w:jc w:val="both"/>
        <w:rPr>
          <w:rFonts w:ascii="Bookman Old Style" w:hAnsi="Bookman Old Style"/>
          <w:b/>
          <w:sz w:val="24"/>
          <w:szCs w:val="24"/>
        </w:rPr>
      </w:pPr>
      <w:r>
        <w:rPr>
          <w:rFonts w:ascii="Bookman Old Style" w:hAnsi="Bookman Old Style"/>
          <w:b/>
          <w:sz w:val="24"/>
        </w:rPr>
        <w:t>4.2.</w:t>
      </w:r>
      <w:r>
        <w:rPr>
          <w:rFonts w:ascii="Bookman Old Style" w:hAnsi="Bookman Old Style"/>
          <w:b/>
          <w:sz w:val="24"/>
        </w:rPr>
        <w:tab/>
        <w:t>Contributions obligatoires : N$ 21 148 050</w:t>
      </w:r>
    </w:p>
    <w:p w14:paraId="4B960AEB" w14:textId="17A05387" w:rsidR="008D39B7" w:rsidRPr="00B61E56" w:rsidRDefault="006B0E7D" w:rsidP="008D6F5A">
      <w:pPr>
        <w:pStyle w:val="ListParagraph"/>
        <w:spacing w:after="0" w:line="240" w:lineRule="auto"/>
        <w:ind w:left="709"/>
        <w:jc w:val="both"/>
        <w:rPr>
          <w:rFonts w:ascii="Bookman Old Style" w:hAnsi="Bookman Old Style"/>
          <w:strike/>
          <w:sz w:val="24"/>
          <w:szCs w:val="24"/>
        </w:rPr>
      </w:pPr>
      <w:r>
        <w:rPr>
          <w:rFonts w:ascii="Bookman Old Style" w:hAnsi="Bookman Old Style"/>
          <w:sz w:val="24"/>
        </w:rPr>
        <w:t>Les contributions obligatoires des membres s'élèvent à N$ 21 148 050 pour l'exercice 2023/2024, chacun des quatorze pays membres contribuant à hauteur de N$ 1 501 500 par an. La contribution des Seychelles est fixée à N$ 127 050 par an.</w:t>
      </w:r>
    </w:p>
    <w:p w14:paraId="4B726650" w14:textId="0B3E768F" w:rsidR="006B0E7D" w:rsidRDefault="006B0E7D" w:rsidP="00D44753">
      <w:pPr>
        <w:pStyle w:val="ListParagraph"/>
        <w:spacing w:after="0" w:line="240" w:lineRule="auto"/>
        <w:ind w:left="0" w:hanging="709"/>
        <w:jc w:val="both"/>
        <w:rPr>
          <w:rFonts w:ascii="Bookman Old Style" w:hAnsi="Bookman Old Style"/>
          <w:sz w:val="24"/>
          <w:szCs w:val="24"/>
        </w:rPr>
      </w:pPr>
    </w:p>
    <w:p w14:paraId="7656FF1F" w14:textId="02864ACA" w:rsidR="008D6F5A" w:rsidRDefault="008D6F5A" w:rsidP="00D44753">
      <w:pPr>
        <w:pStyle w:val="ListParagraph"/>
        <w:spacing w:after="0" w:line="240" w:lineRule="auto"/>
        <w:ind w:left="0" w:hanging="709"/>
        <w:jc w:val="both"/>
        <w:rPr>
          <w:rFonts w:ascii="Bookman Old Style" w:hAnsi="Bookman Old Style"/>
          <w:sz w:val="24"/>
          <w:szCs w:val="24"/>
        </w:rPr>
      </w:pPr>
    </w:p>
    <w:p w14:paraId="74EFEB0A" w14:textId="3318DFAA" w:rsidR="008D6F5A" w:rsidRDefault="008D6F5A" w:rsidP="00D44753">
      <w:pPr>
        <w:pStyle w:val="ListParagraph"/>
        <w:spacing w:after="0" w:line="240" w:lineRule="auto"/>
        <w:ind w:left="0" w:hanging="709"/>
        <w:jc w:val="both"/>
        <w:rPr>
          <w:rFonts w:ascii="Bookman Old Style" w:hAnsi="Bookman Old Style"/>
          <w:sz w:val="24"/>
          <w:szCs w:val="24"/>
        </w:rPr>
      </w:pPr>
    </w:p>
    <w:p w14:paraId="5C493F11" w14:textId="77777777" w:rsidR="008D6F5A" w:rsidRPr="00B61E56" w:rsidRDefault="008D6F5A" w:rsidP="00D44753">
      <w:pPr>
        <w:pStyle w:val="ListParagraph"/>
        <w:spacing w:after="0" w:line="240" w:lineRule="auto"/>
        <w:ind w:left="0" w:hanging="709"/>
        <w:jc w:val="both"/>
        <w:rPr>
          <w:rFonts w:ascii="Bookman Old Style" w:hAnsi="Bookman Old Style"/>
          <w:sz w:val="24"/>
          <w:szCs w:val="24"/>
        </w:rPr>
      </w:pPr>
    </w:p>
    <w:p w14:paraId="4F723C4D" w14:textId="52C122E9" w:rsidR="0030139E" w:rsidRPr="00B61E56" w:rsidRDefault="00E111F6" w:rsidP="0030139E">
      <w:pPr>
        <w:spacing w:after="0" w:line="240" w:lineRule="auto"/>
        <w:ind w:left="709" w:hanging="709"/>
        <w:jc w:val="both"/>
        <w:rPr>
          <w:rFonts w:ascii="Bookman Old Style" w:hAnsi="Bookman Old Style"/>
          <w:b/>
          <w:bCs/>
          <w:sz w:val="24"/>
          <w:szCs w:val="24"/>
        </w:rPr>
      </w:pPr>
      <w:r>
        <w:rPr>
          <w:rFonts w:ascii="Bookman Old Style" w:hAnsi="Bookman Old Style"/>
          <w:b/>
          <w:sz w:val="24"/>
        </w:rPr>
        <w:lastRenderedPageBreak/>
        <w:t>4.3.</w:t>
      </w:r>
      <w:r>
        <w:rPr>
          <w:rFonts w:ascii="Bookman Old Style" w:hAnsi="Bookman Old Style"/>
          <w:b/>
          <w:sz w:val="24"/>
        </w:rPr>
        <w:tab/>
        <w:t>Autres revenus N$ 7 000 000</w:t>
      </w:r>
    </w:p>
    <w:p w14:paraId="0D70D39B" w14:textId="541AC121" w:rsidR="00062689" w:rsidRPr="00B61E56" w:rsidRDefault="00062689" w:rsidP="002003BF">
      <w:pPr>
        <w:spacing w:after="0" w:line="240" w:lineRule="auto"/>
        <w:ind w:left="709" w:hanging="709"/>
        <w:jc w:val="both"/>
        <w:rPr>
          <w:rFonts w:ascii="Bookman Old Style" w:hAnsi="Bookman Old Style"/>
          <w:b/>
          <w:sz w:val="24"/>
          <w:szCs w:val="24"/>
        </w:rPr>
      </w:pPr>
    </w:p>
    <w:p w14:paraId="5599AB48" w14:textId="4EB658A1" w:rsidR="00F54C08" w:rsidRPr="00B61E56" w:rsidRDefault="00E111F6" w:rsidP="005D7317">
      <w:pPr>
        <w:spacing w:after="0" w:line="240" w:lineRule="auto"/>
        <w:ind w:left="709" w:hanging="709"/>
        <w:jc w:val="both"/>
        <w:rPr>
          <w:rFonts w:ascii="Bookman Old Style" w:hAnsi="Bookman Old Style"/>
          <w:sz w:val="24"/>
          <w:szCs w:val="24"/>
        </w:rPr>
      </w:pPr>
      <w:r>
        <w:rPr>
          <w:rFonts w:ascii="Bookman Old Style" w:hAnsi="Bookman Old Style"/>
          <w:sz w:val="24"/>
        </w:rPr>
        <w:t>4.3.1.</w:t>
      </w:r>
      <w:r>
        <w:rPr>
          <w:rFonts w:ascii="Bookman Old Style" w:hAnsi="Bookman Old Style"/>
          <w:sz w:val="24"/>
        </w:rPr>
        <w:tab/>
        <w:t>Les autres revenus s'élèvent à N$ 7 000 000, comme le montre le tableau ci-dessous :</w:t>
      </w:r>
    </w:p>
    <w:p w14:paraId="5D7E0D68" w14:textId="47D54372" w:rsidR="00E111F6" w:rsidRPr="00B61E56" w:rsidRDefault="00E111F6" w:rsidP="00E61FDC">
      <w:pPr>
        <w:spacing w:after="0" w:line="240" w:lineRule="auto"/>
        <w:jc w:val="both"/>
        <w:rPr>
          <w:rFonts w:ascii="Bookman Old Style" w:hAnsi="Bookman Old Style"/>
          <w:sz w:val="24"/>
          <w:szCs w:val="24"/>
        </w:rPr>
      </w:pPr>
    </w:p>
    <w:tbl>
      <w:tblPr>
        <w:tblW w:w="5000" w:type="pct"/>
        <w:tblLook w:val="04A0" w:firstRow="1" w:lastRow="0" w:firstColumn="1" w:lastColumn="0" w:noHBand="0" w:noVBand="1"/>
      </w:tblPr>
      <w:tblGrid>
        <w:gridCol w:w="370"/>
        <w:gridCol w:w="6759"/>
        <w:gridCol w:w="1936"/>
      </w:tblGrid>
      <w:tr w:rsidR="0034677E" w:rsidRPr="00BB4145" w14:paraId="3B3126B0" w14:textId="77777777" w:rsidTr="00BB4145">
        <w:trPr>
          <w:trHeight w:val="288"/>
        </w:trPr>
        <w:tc>
          <w:tcPr>
            <w:tcW w:w="216" w:type="pct"/>
            <w:tcBorders>
              <w:top w:val="nil"/>
              <w:left w:val="nil"/>
              <w:bottom w:val="nil"/>
              <w:right w:val="nil"/>
            </w:tcBorders>
            <w:shd w:val="clear" w:color="auto" w:fill="auto"/>
            <w:noWrap/>
            <w:vAlign w:val="bottom"/>
            <w:hideMark/>
          </w:tcPr>
          <w:p w14:paraId="66B33CC9" w14:textId="77777777" w:rsidR="0034677E" w:rsidRPr="00BB4145" w:rsidRDefault="0034677E" w:rsidP="0034677E">
            <w:pPr>
              <w:spacing w:after="0" w:line="240" w:lineRule="auto"/>
              <w:rPr>
                <w:rFonts w:ascii="Arial Narrow" w:eastAsia="Times New Roman" w:hAnsi="Arial Narrow" w:cs="Times New Roman"/>
                <w:sz w:val="20"/>
                <w:szCs w:val="20"/>
              </w:rPr>
            </w:pPr>
          </w:p>
        </w:tc>
        <w:tc>
          <w:tcPr>
            <w:tcW w:w="3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FC83C" w14:textId="77777777" w:rsidR="0034677E" w:rsidRPr="00BB4145" w:rsidRDefault="0034677E" w:rsidP="0034677E">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SOURCE</w:t>
            </w:r>
          </w:p>
        </w:tc>
        <w:tc>
          <w:tcPr>
            <w:tcW w:w="1080" w:type="pct"/>
            <w:tcBorders>
              <w:top w:val="single" w:sz="4" w:space="0" w:color="auto"/>
              <w:left w:val="nil"/>
              <w:bottom w:val="single" w:sz="4" w:space="0" w:color="auto"/>
              <w:right w:val="single" w:sz="4" w:space="0" w:color="auto"/>
            </w:tcBorders>
            <w:shd w:val="clear" w:color="auto" w:fill="auto"/>
            <w:noWrap/>
            <w:vAlign w:val="bottom"/>
            <w:hideMark/>
          </w:tcPr>
          <w:p w14:paraId="152157C7" w14:textId="77777777" w:rsidR="0034677E" w:rsidRPr="00BB4145" w:rsidRDefault="0034677E" w:rsidP="0034677E">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MONTANT EN N$</w:t>
            </w:r>
          </w:p>
        </w:tc>
      </w:tr>
      <w:tr w:rsidR="0034677E" w:rsidRPr="00BB4145" w14:paraId="3661C8AE" w14:textId="77777777" w:rsidTr="00BB4145">
        <w:trPr>
          <w:trHeight w:val="288"/>
        </w:trPr>
        <w:tc>
          <w:tcPr>
            <w:tcW w:w="216" w:type="pct"/>
            <w:tcBorders>
              <w:top w:val="nil"/>
              <w:left w:val="nil"/>
              <w:bottom w:val="nil"/>
              <w:right w:val="nil"/>
            </w:tcBorders>
            <w:shd w:val="clear" w:color="auto" w:fill="auto"/>
            <w:noWrap/>
            <w:vAlign w:val="bottom"/>
            <w:hideMark/>
          </w:tcPr>
          <w:p w14:paraId="67A60D05" w14:textId="77777777" w:rsidR="0034677E" w:rsidRPr="00BB4145" w:rsidRDefault="0034677E" w:rsidP="0034677E">
            <w:pPr>
              <w:spacing w:after="0" w:line="240" w:lineRule="auto"/>
              <w:jc w:val="right"/>
              <w:rPr>
                <w:rFonts w:ascii="Arial Narrow" w:eastAsia="Times New Roman" w:hAnsi="Arial Narrow" w:cs="Calibri"/>
                <w:color w:val="000000"/>
                <w:sz w:val="20"/>
                <w:szCs w:val="20"/>
              </w:rPr>
            </w:pPr>
            <w:r w:rsidRPr="00BB4145">
              <w:rPr>
                <w:rFonts w:ascii="Arial Narrow" w:hAnsi="Arial Narrow"/>
                <w:color w:val="000000"/>
                <w:sz w:val="20"/>
                <w:szCs w:val="20"/>
              </w:rPr>
              <w:t>1</w:t>
            </w:r>
          </w:p>
        </w:tc>
        <w:tc>
          <w:tcPr>
            <w:tcW w:w="3704" w:type="pct"/>
            <w:tcBorders>
              <w:top w:val="nil"/>
              <w:left w:val="single" w:sz="4" w:space="0" w:color="auto"/>
              <w:bottom w:val="single" w:sz="4" w:space="0" w:color="auto"/>
              <w:right w:val="single" w:sz="4" w:space="0" w:color="auto"/>
            </w:tcBorders>
            <w:shd w:val="clear" w:color="auto" w:fill="auto"/>
            <w:noWrap/>
            <w:vAlign w:val="bottom"/>
            <w:hideMark/>
          </w:tcPr>
          <w:p w14:paraId="684E65E9" w14:textId="77777777" w:rsidR="0034677E" w:rsidRPr="00BB4145" w:rsidRDefault="0034677E" w:rsidP="0034677E">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RÉSERVES ACCUMULÉES- (pour les SALAIRES)</w:t>
            </w:r>
          </w:p>
        </w:tc>
        <w:tc>
          <w:tcPr>
            <w:tcW w:w="1080" w:type="pct"/>
            <w:tcBorders>
              <w:top w:val="nil"/>
              <w:left w:val="nil"/>
              <w:bottom w:val="single" w:sz="4" w:space="0" w:color="auto"/>
              <w:right w:val="single" w:sz="4" w:space="0" w:color="auto"/>
            </w:tcBorders>
            <w:shd w:val="clear" w:color="auto" w:fill="auto"/>
            <w:noWrap/>
            <w:vAlign w:val="bottom"/>
            <w:hideMark/>
          </w:tcPr>
          <w:p w14:paraId="22A88778" w14:textId="77777777" w:rsidR="0034677E" w:rsidRPr="00BB4145" w:rsidRDefault="0034677E" w:rsidP="0034677E">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xml:space="preserve">      1 500 000,00 </w:t>
            </w:r>
          </w:p>
        </w:tc>
      </w:tr>
      <w:tr w:rsidR="0034677E" w:rsidRPr="00BB4145" w14:paraId="5FBE8258" w14:textId="77777777" w:rsidTr="00BB4145">
        <w:trPr>
          <w:trHeight w:val="288"/>
        </w:trPr>
        <w:tc>
          <w:tcPr>
            <w:tcW w:w="216" w:type="pct"/>
            <w:tcBorders>
              <w:top w:val="nil"/>
              <w:left w:val="nil"/>
              <w:bottom w:val="nil"/>
              <w:right w:val="nil"/>
            </w:tcBorders>
            <w:shd w:val="clear" w:color="auto" w:fill="auto"/>
            <w:noWrap/>
            <w:vAlign w:val="bottom"/>
            <w:hideMark/>
          </w:tcPr>
          <w:p w14:paraId="605C9CFE" w14:textId="77777777" w:rsidR="0034677E" w:rsidRPr="00BB4145" w:rsidRDefault="0034677E" w:rsidP="0034677E">
            <w:pPr>
              <w:spacing w:after="0" w:line="240" w:lineRule="auto"/>
              <w:jc w:val="right"/>
              <w:rPr>
                <w:rFonts w:ascii="Arial Narrow" w:eastAsia="Times New Roman" w:hAnsi="Arial Narrow" w:cs="Calibri"/>
                <w:color w:val="000000"/>
                <w:sz w:val="20"/>
                <w:szCs w:val="20"/>
              </w:rPr>
            </w:pPr>
            <w:r w:rsidRPr="00BB4145">
              <w:rPr>
                <w:rFonts w:ascii="Arial Narrow" w:hAnsi="Arial Narrow"/>
                <w:color w:val="000000"/>
                <w:sz w:val="20"/>
                <w:szCs w:val="20"/>
              </w:rPr>
              <w:t>2</w:t>
            </w:r>
          </w:p>
        </w:tc>
        <w:tc>
          <w:tcPr>
            <w:tcW w:w="3704" w:type="pct"/>
            <w:tcBorders>
              <w:top w:val="nil"/>
              <w:left w:val="single" w:sz="4" w:space="0" w:color="auto"/>
              <w:bottom w:val="single" w:sz="4" w:space="0" w:color="auto"/>
              <w:right w:val="single" w:sz="4" w:space="0" w:color="auto"/>
            </w:tcBorders>
            <w:shd w:val="clear" w:color="auto" w:fill="auto"/>
            <w:noWrap/>
            <w:vAlign w:val="bottom"/>
            <w:hideMark/>
          </w:tcPr>
          <w:p w14:paraId="5BFF97AF" w14:textId="77777777" w:rsidR="0034677E" w:rsidRPr="00BB4145" w:rsidRDefault="0034677E" w:rsidP="0034677E">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RÉSERVES ACCUMULÉES - DÉPENSES OPÉRATIONNELLES ET ADMINISTRATIVES</w:t>
            </w:r>
          </w:p>
        </w:tc>
        <w:tc>
          <w:tcPr>
            <w:tcW w:w="1080" w:type="pct"/>
            <w:tcBorders>
              <w:top w:val="nil"/>
              <w:left w:val="nil"/>
              <w:bottom w:val="single" w:sz="4" w:space="0" w:color="auto"/>
              <w:right w:val="single" w:sz="4" w:space="0" w:color="auto"/>
            </w:tcBorders>
            <w:shd w:val="clear" w:color="auto" w:fill="auto"/>
            <w:noWrap/>
            <w:vAlign w:val="bottom"/>
            <w:hideMark/>
          </w:tcPr>
          <w:p w14:paraId="776B057D" w14:textId="77777777" w:rsidR="0034677E" w:rsidRPr="00BB4145" w:rsidRDefault="0034677E" w:rsidP="0034677E">
            <w:pPr>
              <w:spacing w:after="0" w:line="240" w:lineRule="auto"/>
              <w:rPr>
                <w:rFonts w:ascii="Arial Narrow" w:eastAsia="Times New Roman" w:hAnsi="Arial Narrow" w:cs="Calibri"/>
                <w:color w:val="000000"/>
                <w:sz w:val="20"/>
                <w:szCs w:val="20"/>
              </w:rPr>
            </w:pPr>
            <w:r w:rsidRPr="00BB4145">
              <w:rPr>
                <w:rFonts w:ascii="Arial Narrow" w:hAnsi="Arial Narrow"/>
                <w:color w:val="000000"/>
                <w:sz w:val="20"/>
                <w:szCs w:val="20"/>
              </w:rPr>
              <w:t xml:space="preserve">      5 500 000,00 </w:t>
            </w:r>
          </w:p>
        </w:tc>
      </w:tr>
      <w:tr w:rsidR="0034677E" w:rsidRPr="00BB4145" w14:paraId="0A1DA4BB" w14:textId="77777777" w:rsidTr="00BB4145">
        <w:trPr>
          <w:trHeight w:val="288"/>
        </w:trPr>
        <w:tc>
          <w:tcPr>
            <w:tcW w:w="216" w:type="pct"/>
            <w:tcBorders>
              <w:top w:val="nil"/>
              <w:left w:val="nil"/>
              <w:bottom w:val="nil"/>
              <w:right w:val="nil"/>
            </w:tcBorders>
            <w:shd w:val="clear" w:color="auto" w:fill="auto"/>
            <w:noWrap/>
            <w:vAlign w:val="bottom"/>
            <w:hideMark/>
          </w:tcPr>
          <w:p w14:paraId="2A9B6693" w14:textId="77777777" w:rsidR="0034677E" w:rsidRPr="00BB4145" w:rsidRDefault="0034677E" w:rsidP="0034677E">
            <w:pPr>
              <w:spacing w:after="0" w:line="240" w:lineRule="auto"/>
              <w:rPr>
                <w:rFonts w:ascii="Arial Narrow" w:eastAsia="Times New Roman" w:hAnsi="Arial Narrow" w:cs="Calibri"/>
                <w:color w:val="000000"/>
                <w:sz w:val="20"/>
                <w:szCs w:val="20"/>
              </w:rPr>
            </w:pPr>
          </w:p>
        </w:tc>
        <w:tc>
          <w:tcPr>
            <w:tcW w:w="3704" w:type="pct"/>
            <w:tcBorders>
              <w:top w:val="nil"/>
              <w:left w:val="single" w:sz="4" w:space="0" w:color="auto"/>
              <w:bottom w:val="single" w:sz="4" w:space="0" w:color="auto"/>
              <w:right w:val="single" w:sz="4" w:space="0" w:color="auto"/>
            </w:tcBorders>
            <w:shd w:val="clear" w:color="auto" w:fill="auto"/>
            <w:noWrap/>
            <w:vAlign w:val="bottom"/>
            <w:hideMark/>
          </w:tcPr>
          <w:p w14:paraId="26BAF1DE" w14:textId="77777777" w:rsidR="0034677E" w:rsidRPr="00BB4145" w:rsidRDefault="0034677E" w:rsidP="0034677E">
            <w:pPr>
              <w:spacing w:after="0" w:line="240" w:lineRule="auto"/>
              <w:rPr>
                <w:rFonts w:ascii="Arial Narrow" w:eastAsia="Times New Roman" w:hAnsi="Arial Narrow" w:cs="Calibri"/>
                <w:b/>
                <w:bCs/>
                <w:color w:val="000000"/>
                <w:sz w:val="20"/>
                <w:szCs w:val="20"/>
              </w:rPr>
            </w:pPr>
            <w:r w:rsidRPr="00BB4145">
              <w:rPr>
                <w:rFonts w:ascii="Arial Narrow" w:hAnsi="Arial Narrow"/>
                <w:b/>
                <w:color w:val="000000"/>
                <w:sz w:val="20"/>
                <w:szCs w:val="20"/>
              </w:rPr>
              <w:t>TOTAL</w:t>
            </w:r>
          </w:p>
        </w:tc>
        <w:tc>
          <w:tcPr>
            <w:tcW w:w="1080" w:type="pct"/>
            <w:tcBorders>
              <w:top w:val="nil"/>
              <w:left w:val="nil"/>
              <w:bottom w:val="single" w:sz="4" w:space="0" w:color="auto"/>
              <w:right w:val="single" w:sz="4" w:space="0" w:color="auto"/>
            </w:tcBorders>
            <w:shd w:val="clear" w:color="auto" w:fill="auto"/>
            <w:noWrap/>
            <w:vAlign w:val="bottom"/>
            <w:hideMark/>
          </w:tcPr>
          <w:p w14:paraId="6CDD8AAB" w14:textId="77777777" w:rsidR="0034677E" w:rsidRPr="00BB4145" w:rsidRDefault="0034677E" w:rsidP="0034677E">
            <w:pPr>
              <w:spacing w:after="0" w:line="240" w:lineRule="auto"/>
              <w:rPr>
                <w:rFonts w:ascii="Arial Narrow" w:eastAsia="Times New Roman" w:hAnsi="Arial Narrow" w:cs="Calibri"/>
                <w:b/>
                <w:bCs/>
                <w:color w:val="000000"/>
                <w:sz w:val="20"/>
                <w:szCs w:val="20"/>
              </w:rPr>
            </w:pPr>
            <w:r w:rsidRPr="00BB4145">
              <w:rPr>
                <w:rFonts w:ascii="Arial Narrow" w:hAnsi="Arial Narrow"/>
                <w:b/>
                <w:color w:val="000000"/>
                <w:sz w:val="20"/>
                <w:szCs w:val="20"/>
              </w:rPr>
              <w:t xml:space="preserve">     </w:t>
            </w:r>
            <w:r w:rsidRPr="00BB4145">
              <w:rPr>
                <w:rFonts w:ascii="Arial Narrow" w:hAnsi="Arial Narrow"/>
                <w:color w:val="000000"/>
                <w:sz w:val="20"/>
                <w:szCs w:val="20"/>
              </w:rPr>
              <w:t>7 000 000,00</w:t>
            </w:r>
            <w:r w:rsidRPr="00BB4145">
              <w:rPr>
                <w:rFonts w:ascii="Arial Narrow" w:hAnsi="Arial Narrow"/>
                <w:b/>
                <w:color w:val="000000"/>
                <w:sz w:val="20"/>
                <w:szCs w:val="20"/>
              </w:rPr>
              <w:t xml:space="preserve"> </w:t>
            </w:r>
          </w:p>
        </w:tc>
      </w:tr>
    </w:tbl>
    <w:p w14:paraId="5B893F22" w14:textId="3B47E992" w:rsidR="00E111F6" w:rsidRPr="00B61E56" w:rsidRDefault="00E111F6" w:rsidP="00E61FDC">
      <w:pPr>
        <w:spacing w:after="0" w:line="240" w:lineRule="auto"/>
        <w:jc w:val="both"/>
        <w:rPr>
          <w:rFonts w:ascii="Bookman Old Style" w:hAnsi="Bookman Old Style"/>
          <w:sz w:val="24"/>
          <w:szCs w:val="24"/>
        </w:rPr>
      </w:pPr>
    </w:p>
    <w:p w14:paraId="6BD6DB59" w14:textId="72ABC1C7" w:rsidR="00EB6CFC" w:rsidRPr="008D6F5A" w:rsidRDefault="005D7317" w:rsidP="00E111F6">
      <w:pPr>
        <w:pStyle w:val="ListParagraph"/>
        <w:numPr>
          <w:ilvl w:val="2"/>
          <w:numId w:val="30"/>
        </w:numPr>
        <w:spacing w:after="0" w:line="240" w:lineRule="auto"/>
        <w:jc w:val="both"/>
        <w:rPr>
          <w:rFonts w:ascii="Bookman Old Style" w:hAnsi="Bookman Old Style"/>
          <w:b/>
          <w:bCs/>
          <w:sz w:val="24"/>
          <w:szCs w:val="24"/>
        </w:rPr>
      </w:pPr>
      <w:r>
        <w:rPr>
          <w:rFonts w:ascii="Bookman Old Style" w:hAnsi="Bookman Old Style"/>
          <w:b/>
          <w:sz w:val="24"/>
        </w:rPr>
        <w:t>Affectations des revenus conservés</w:t>
      </w:r>
    </w:p>
    <w:p w14:paraId="4235DBB7" w14:textId="77777777" w:rsidR="008D6F5A" w:rsidRPr="00B61E56" w:rsidRDefault="008D6F5A" w:rsidP="008D6F5A">
      <w:pPr>
        <w:pStyle w:val="ListParagraph"/>
        <w:spacing w:after="0" w:line="240" w:lineRule="auto"/>
        <w:jc w:val="both"/>
        <w:rPr>
          <w:rFonts w:ascii="Bookman Old Style" w:hAnsi="Bookman Old Style"/>
          <w:b/>
          <w:bCs/>
          <w:sz w:val="24"/>
          <w:szCs w:val="24"/>
        </w:rPr>
      </w:pPr>
    </w:p>
    <w:p w14:paraId="72A853C9" w14:textId="010565DE" w:rsidR="005D7317" w:rsidRPr="008D6F5A" w:rsidRDefault="005D7317" w:rsidP="008D6F5A">
      <w:pPr>
        <w:pStyle w:val="ListParagraph"/>
        <w:numPr>
          <w:ilvl w:val="0"/>
          <w:numId w:val="19"/>
        </w:numPr>
        <w:spacing w:after="0" w:line="240" w:lineRule="auto"/>
        <w:ind w:left="1134" w:hanging="425"/>
        <w:jc w:val="both"/>
        <w:rPr>
          <w:rFonts w:ascii="Bookman Old Style" w:hAnsi="Bookman Old Style"/>
          <w:sz w:val="24"/>
          <w:szCs w:val="24"/>
        </w:rPr>
      </w:pPr>
      <w:r>
        <w:rPr>
          <w:rFonts w:ascii="Bookman Old Style" w:hAnsi="Bookman Old Style"/>
          <w:sz w:val="24"/>
        </w:rPr>
        <w:t>Les revenus conservés au 31 mars 2022 s'élèvent à N$ 11 millions mais seul un montant estimé à N$ 7,5 millions est disponible pour l'exercice 2023/2024.</w:t>
      </w:r>
    </w:p>
    <w:p w14:paraId="47219E56" w14:textId="77777777" w:rsidR="008D6F5A" w:rsidRPr="00B61E56" w:rsidRDefault="008D6F5A" w:rsidP="008D6F5A">
      <w:pPr>
        <w:pStyle w:val="ListParagraph"/>
        <w:spacing w:after="0" w:line="240" w:lineRule="auto"/>
        <w:ind w:left="1134" w:hanging="425"/>
        <w:jc w:val="both"/>
        <w:rPr>
          <w:rFonts w:ascii="Bookman Old Style" w:hAnsi="Bookman Old Style"/>
          <w:sz w:val="24"/>
          <w:szCs w:val="24"/>
        </w:rPr>
      </w:pPr>
    </w:p>
    <w:p w14:paraId="60E62093" w14:textId="6FC414EB" w:rsidR="00D531EE" w:rsidRPr="008D6F5A" w:rsidRDefault="00D52C69" w:rsidP="008D6F5A">
      <w:pPr>
        <w:pStyle w:val="ListParagraph"/>
        <w:numPr>
          <w:ilvl w:val="0"/>
          <w:numId w:val="19"/>
        </w:numPr>
        <w:spacing w:after="0" w:line="240" w:lineRule="auto"/>
        <w:ind w:left="1134" w:hanging="425"/>
        <w:jc w:val="both"/>
        <w:rPr>
          <w:rFonts w:ascii="Bookman Old Style" w:hAnsi="Bookman Old Style"/>
          <w:sz w:val="24"/>
          <w:szCs w:val="24"/>
        </w:rPr>
      </w:pPr>
      <w:r>
        <w:rPr>
          <w:rFonts w:ascii="Bookman Old Style" w:hAnsi="Bookman Old Style"/>
          <w:sz w:val="24"/>
        </w:rPr>
        <w:t>Il est proposé d'affecter un montant de N$ 1 500 000 du revenu conservé aux salaires, comme approuvé par la 50</w:t>
      </w:r>
      <w:r>
        <w:rPr>
          <w:rFonts w:ascii="Bookman Old Style" w:hAnsi="Bookman Old Style"/>
          <w:sz w:val="24"/>
          <w:vertAlign w:val="superscript"/>
        </w:rPr>
        <w:t>e</w:t>
      </w:r>
      <w:r>
        <w:rPr>
          <w:rFonts w:ascii="Bookman Old Style" w:hAnsi="Bookman Old Style"/>
          <w:sz w:val="24"/>
        </w:rPr>
        <w:t xml:space="preserve"> Assemblée plénière, </w:t>
      </w:r>
      <w:proofErr w:type="gramStart"/>
      <w:r>
        <w:rPr>
          <w:rFonts w:ascii="Bookman Old Style" w:hAnsi="Bookman Old Style"/>
          <w:sz w:val="24"/>
        </w:rPr>
        <w:t>suite aux</w:t>
      </w:r>
      <w:proofErr w:type="gramEnd"/>
      <w:r>
        <w:rPr>
          <w:rFonts w:ascii="Bookman Old Style" w:hAnsi="Bookman Old Style"/>
          <w:sz w:val="24"/>
        </w:rPr>
        <w:t xml:space="preserve"> recommandations de révision des salaires qui exigent une révision annuelle de la structure des salaires en fonction de l'indice des prix à la consommation (IPC) et comprennent des augmentations d'échelon ;</w:t>
      </w:r>
    </w:p>
    <w:p w14:paraId="50637235" w14:textId="77777777" w:rsidR="008D6F5A" w:rsidRPr="008D6F5A" w:rsidRDefault="008D6F5A" w:rsidP="008D6F5A">
      <w:pPr>
        <w:spacing w:after="0" w:line="240" w:lineRule="auto"/>
        <w:ind w:left="1134" w:hanging="425"/>
        <w:jc w:val="both"/>
        <w:rPr>
          <w:rFonts w:ascii="Bookman Old Style" w:hAnsi="Bookman Old Style"/>
          <w:sz w:val="24"/>
          <w:szCs w:val="24"/>
        </w:rPr>
      </w:pPr>
    </w:p>
    <w:p w14:paraId="11DF947C" w14:textId="77777777" w:rsidR="008D6F5A" w:rsidRPr="008D6F5A" w:rsidRDefault="00815D3B" w:rsidP="001058AD">
      <w:pPr>
        <w:pStyle w:val="ListParagraph"/>
        <w:numPr>
          <w:ilvl w:val="0"/>
          <w:numId w:val="19"/>
        </w:numPr>
        <w:spacing w:after="0" w:line="240" w:lineRule="auto"/>
        <w:ind w:left="1134" w:hanging="425"/>
        <w:jc w:val="both"/>
        <w:rPr>
          <w:rFonts w:ascii="Bookman Old Style" w:hAnsi="Bookman Old Style"/>
          <w:sz w:val="24"/>
          <w:szCs w:val="24"/>
        </w:rPr>
      </w:pPr>
      <w:r w:rsidRPr="008D6F5A">
        <w:rPr>
          <w:rFonts w:ascii="Bookman Old Style" w:hAnsi="Bookman Old Style"/>
          <w:sz w:val="24"/>
        </w:rPr>
        <w:t xml:space="preserve">N$5 500 000 à allouer à partir des revenus conservés aux </w:t>
      </w:r>
      <w:proofErr w:type="gramStart"/>
      <w:r w:rsidRPr="008D6F5A">
        <w:rPr>
          <w:rFonts w:ascii="Bookman Old Style" w:hAnsi="Bookman Old Style"/>
          <w:sz w:val="24"/>
        </w:rPr>
        <w:t>dépenses</w:t>
      </w:r>
      <w:proofErr w:type="gramEnd"/>
      <w:r w:rsidRPr="008D6F5A">
        <w:rPr>
          <w:rFonts w:ascii="Bookman Old Style" w:hAnsi="Bookman Old Style"/>
          <w:sz w:val="24"/>
        </w:rPr>
        <w:t xml:space="preserve"> opérationnelles et aux frais généraux administratifs. La proposition d'allouer des revenus conservés au budget est rendue nécessaire en partie par le manque de financement externe pour les activités du Comité permanent et du programme, le réseautage et les processus de développement politique. La tendance, au cours des exercices financiers précédents, a été de financer les réunions du Comité permanent à partir de fonds externes ; cependant, bien que la mobilisation des ressources soit en cours, il n'y a actuellement aucun financement externe confirmé pour l'exercice 2023/2024.  </w:t>
      </w:r>
      <w:r w:rsidR="00D57C0B" w:rsidRPr="008D6F5A">
        <w:rPr>
          <w:rFonts w:ascii="Bookman Old Style" w:hAnsi="Bookman Old Style"/>
          <w:sz w:val="24"/>
        </w:rPr>
        <w:t xml:space="preserve"> </w:t>
      </w:r>
    </w:p>
    <w:p w14:paraId="495016CA" w14:textId="77777777" w:rsidR="008D6F5A" w:rsidRPr="008D6F5A" w:rsidRDefault="008D6F5A" w:rsidP="008D6F5A">
      <w:pPr>
        <w:pStyle w:val="ListParagraph"/>
        <w:rPr>
          <w:rFonts w:ascii="Bookman Old Style" w:hAnsi="Bookman Old Style"/>
          <w:sz w:val="24"/>
        </w:rPr>
      </w:pPr>
    </w:p>
    <w:p w14:paraId="5097F1CC" w14:textId="72646AE5" w:rsidR="00282E2F" w:rsidRPr="008D6F5A" w:rsidRDefault="000C587D" w:rsidP="008D6F5A">
      <w:pPr>
        <w:pStyle w:val="ListParagraph"/>
        <w:keepNext/>
        <w:keepLines/>
        <w:numPr>
          <w:ilvl w:val="2"/>
          <w:numId w:val="39"/>
        </w:numPr>
        <w:spacing w:after="0" w:line="240" w:lineRule="auto"/>
        <w:ind w:left="709" w:hanging="698"/>
        <w:jc w:val="both"/>
        <w:rPr>
          <w:rFonts w:ascii="Bookman Old Style" w:hAnsi="Bookman Old Style"/>
          <w:bCs/>
          <w:sz w:val="24"/>
          <w:szCs w:val="24"/>
        </w:rPr>
      </w:pPr>
      <w:r w:rsidRPr="008D6F5A">
        <w:rPr>
          <w:rFonts w:ascii="Bookman Old Style" w:hAnsi="Bookman Old Style"/>
          <w:b/>
          <w:sz w:val="24"/>
        </w:rPr>
        <w:t xml:space="preserve">Contributions aux missions d'observation électorale des parlements membres (non </w:t>
      </w:r>
      <w:proofErr w:type="gramStart"/>
      <w:r w:rsidRPr="008D6F5A">
        <w:rPr>
          <w:rFonts w:ascii="Bookman Old Style" w:hAnsi="Bookman Old Style"/>
          <w:b/>
          <w:sz w:val="24"/>
        </w:rPr>
        <w:t>incluses)</w:t>
      </w:r>
      <w:r w:rsidR="008D6F5A">
        <w:rPr>
          <w:rFonts w:ascii="Bookman Old Style" w:hAnsi="Bookman Old Style"/>
          <w:b/>
          <w:sz w:val="24"/>
        </w:rPr>
        <w:t xml:space="preserve">  </w:t>
      </w:r>
      <w:r w:rsidRPr="008D6F5A">
        <w:rPr>
          <w:rFonts w:ascii="Bookman Old Style" w:hAnsi="Bookman Old Style"/>
          <w:sz w:val="24"/>
        </w:rPr>
        <w:t>Au</w:t>
      </w:r>
      <w:proofErr w:type="gramEnd"/>
      <w:r w:rsidRPr="008D6F5A">
        <w:rPr>
          <w:rFonts w:ascii="Bookman Old Style" w:hAnsi="Bookman Old Style"/>
          <w:sz w:val="24"/>
        </w:rPr>
        <w:t xml:space="preserve"> cours de l'exercice 2023/2024, les pays suivants devraient organiser des élections : La République démocratique du Congo, l'Eswatini et le Zimbabwe. Le budget exige des contributions spécifiques des parlements membres pour les missions d'observation électorale, fixées à USD 5 000 par parlement et par mission, avec une participation attendue d'environ 9 parlements par mission sur la base du coût total prévu d'environ N$ 2,4 millions pour les trois missions d'observation électorale.  Cette contribution proposée n'est toutefois pas reflétée dans le budget, car la source de financement n'est pas confirmée. Les fonds seront traités comme des fonds supplémentaires et comptabilisés tels qu'ils ont été reçus à la suite des missions d'observation électorale. Un montant de N$ 300 000 seulement a été </w:t>
      </w:r>
      <w:proofErr w:type="gramStart"/>
      <w:r w:rsidRPr="008D6F5A">
        <w:rPr>
          <w:rFonts w:ascii="Bookman Old Style" w:hAnsi="Bookman Old Style"/>
          <w:sz w:val="24"/>
        </w:rPr>
        <w:t>fourni</w:t>
      </w:r>
      <w:proofErr w:type="gramEnd"/>
      <w:r w:rsidRPr="008D6F5A">
        <w:rPr>
          <w:rFonts w:ascii="Bookman Old Style" w:hAnsi="Bookman Old Style"/>
          <w:sz w:val="24"/>
        </w:rPr>
        <w:t xml:space="preserve"> comme financement initial.</w:t>
      </w:r>
    </w:p>
    <w:p w14:paraId="05DCA82C" w14:textId="77777777" w:rsidR="00DD353C" w:rsidRPr="00B61E56" w:rsidRDefault="00DD353C" w:rsidP="00DD353C">
      <w:pPr>
        <w:spacing w:after="0" w:line="240" w:lineRule="auto"/>
        <w:ind w:left="709" w:firstLine="11"/>
        <w:jc w:val="both"/>
        <w:rPr>
          <w:rFonts w:ascii="Bookman Old Style" w:hAnsi="Bookman Old Style"/>
          <w:bCs/>
          <w:sz w:val="24"/>
          <w:szCs w:val="24"/>
        </w:rPr>
      </w:pPr>
    </w:p>
    <w:p w14:paraId="06C45583" w14:textId="73DBE6CE" w:rsidR="000C587D" w:rsidRPr="008D6F5A" w:rsidRDefault="000C587D" w:rsidP="008D6F5A">
      <w:pPr>
        <w:pStyle w:val="ListParagraph"/>
        <w:numPr>
          <w:ilvl w:val="2"/>
          <w:numId w:val="39"/>
        </w:numPr>
        <w:spacing w:after="0" w:line="240" w:lineRule="auto"/>
        <w:ind w:left="709" w:hanging="709"/>
        <w:jc w:val="both"/>
        <w:rPr>
          <w:rFonts w:ascii="Bookman Old Style" w:hAnsi="Bookman Old Style"/>
          <w:b/>
          <w:sz w:val="24"/>
          <w:szCs w:val="24"/>
        </w:rPr>
      </w:pPr>
      <w:r w:rsidRPr="008D6F5A">
        <w:rPr>
          <w:rFonts w:ascii="Bookman Old Style" w:hAnsi="Bookman Old Style"/>
          <w:b/>
          <w:sz w:val="24"/>
        </w:rPr>
        <w:lastRenderedPageBreak/>
        <w:t>Revenus provenant du financement des bailleurs de fonds : Zéro</w:t>
      </w:r>
    </w:p>
    <w:p w14:paraId="3511268E" w14:textId="77777777" w:rsidR="000C587D" w:rsidRPr="00B61E56" w:rsidRDefault="000C587D" w:rsidP="000C587D">
      <w:pPr>
        <w:spacing w:after="0" w:line="240" w:lineRule="auto"/>
        <w:ind w:left="709"/>
        <w:jc w:val="both"/>
        <w:rPr>
          <w:rFonts w:ascii="Bookman Old Style" w:hAnsi="Bookman Old Style"/>
          <w:sz w:val="24"/>
          <w:szCs w:val="24"/>
        </w:rPr>
      </w:pPr>
      <w:r>
        <w:rPr>
          <w:rFonts w:ascii="Bookman Old Style" w:hAnsi="Bookman Old Style"/>
          <w:sz w:val="24"/>
        </w:rPr>
        <w:t>Il n'y a pas de revenus provenant de bailleurs de fonds/partenaires de coopération reflétés dans le budget pour 2023/2024. Même lorsqu'il a été inclus dans les budgets des années précédentes, l'effet net est nul car un montant correspondant exact a été inclus dans les dépenses. Les budgets et les dépenses des bailleurs de fonds sont compilés et rapportés séparément selon les accords respectifs signés. Ceci est également conforme à la recommandation de ne plus consolider les comptes principaux de la SADC PF avec les comptes financés par les bailleurs de fonds dans les états financiers audités.</w:t>
      </w:r>
    </w:p>
    <w:p w14:paraId="1FA7BCA3" w14:textId="77777777" w:rsidR="000C587D" w:rsidRPr="00B61E56" w:rsidRDefault="000C587D" w:rsidP="000C587D">
      <w:pPr>
        <w:spacing w:after="0" w:line="240" w:lineRule="auto"/>
        <w:jc w:val="both"/>
        <w:rPr>
          <w:rFonts w:ascii="Bookman Old Style" w:hAnsi="Bookman Old Style"/>
          <w:sz w:val="24"/>
          <w:szCs w:val="24"/>
        </w:rPr>
      </w:pPr>
    </w:p>
    <w:p w14:paraId="179E4578" w14:textId="16C3A604" w:rsidR="00186171" w:rsidRPr="00B61E56" w:rsidRDefault="00E111F6" w:rsidP="002003BF">
      <w:pPr>
        <w:spacing w:after="0" w:line="240" w:lineRule="auto"/>
        <w:ind w:left="709" w:hanging="709"/>
        <w:jc w:val="both"/>
        <w:rPr>
          <w:rFonts w:ascii="Bookman Old Style" w:hAnsi="Bookman Old Style"/>
          <w:sz w:val="24"/>
          <w:szCs w:val="24"/>
        </w:rPr>
      </w:pPr>
      <w:r>
        <w:rPr>
          <w:rFonts w:ascii="Bookman Old Style" w:hAnsi="Bookman Old Style"/>
          <w:b/>
          <w:sz w:val="24"/>
        </w:rPr>
        <w:t>4.3.5. Total des revenus N$ 28 388 050</w:t>
      </w:r>
    </w:p>
    <w:p w14:paraId="0A8F546B" w14:textId="385E7814" w:rsidR="005D7317" w:rsidRDefault="008D39B7" w:rsidP="00D73FD9">
      <w:pPr>
        <w:spacing w:after="0" w:line="240" w:lineRule="auto"/>
        <w:ind w:left="709"/>
        <w:jc w:val="both"/>
        <w:rPr>
          <w:rFonts w:ascii="Bookman Old Style" w:hAnsi="Bookman Old Style"/>
          <w:sz w:val="24"/>
          <w:szCs w:val="24"/>
        </w:rPr>
      </w:pPr>
      <w:r>
        <w:rPr>
          <w:rFonts w:ascii="Bookman Old Style" w:hAnsi="Bookman Old Style"/>
          <w:sz w:val="24"/>
        </w:rPr>
        <w:t xml:space="preserve">Le budget total pour 2023/2024 prévoit donc des revenus totaux de N$ 28 388 050, contre N$ 51 422 942 pour l'exercice 2022/2023. La réduction de N$ 23,03 millions (45%) est un effet net de l'exclusion du financement des bailleurs de fonds et de l'inclusion des allocations des bénéfices non répartis pour couvrir les déficits. </w:t>
      </w:r>
      <w:r>
        <w:t>Alors qu'un total de 50 % du budget</w:t>
      </w:r>
      <w:r>
        <w:rPr>
          <w:rFonts w:ascii="Bookman Old Style" w:hAnsi="Bookman Old Style"/>
          <w:sz w:val="24"/>
        </w:rPr>
        <w:t xml:space="preserve"> </w:t>
      </w:r>
      <w:r>
        <w:t>2022/</w:t>
      </w:r>
      <w:proofErr w:type="gramStart"/>
      <w:r>
        <w:t xml:space="preserve">2023 </w:t>
      </w:r>
      <w:bookmarkStart w:id="4" w:name="_Hlk56276150"/>
      <w:r>
        <w:t>,</w:t>
      </w:r>
      <w:proofErr w:type="gramEnd"/>
      <w:r>
        <w:t xml:space="preserve"> soit N$ 25 881 788, provenait de fonds de donateurs,</w:t>
      </w:r>
      <w:bookmarkEnd w:id="4"/>
      <w:r>
        <w:rPr>
          <w:rFonts w:ascii="Bookman Old Style" w:hAnsi="Bookman Old Style"/>
          <w:sz w:val="24"/>
        </w:rPr>
        <w:t xml:space="preserve"> il n'y a aucun montant provenant de ces derniers dans le budget 2023/2024. De même, comme indiqué au point 4.3 ci-dessus, un montant de N$ 7,0 millions est alloué à partir des revenus non répartis. Les détails sont fournis dans le tableau ci-dessous :</w:t>
      </w:r>
    </w:p>
    <w:p w14:paraId="72C403C1" w14:textId="7BF6846D" w:rsidR="005D7317" w:rsidRDefault="005D7317" w:rsidP="002003BF">
      <w:pPr>
        <w:spacing w:after="0" w:line="240" w:lineRule="auto"/>
        <w:ind w:left="709" w:hanging="709"/>
        <w:jc w:val="both"/>
        <w:rPr>
          <w:rFonts w:ascii="Bookman Old Style" w:hAnsi="Bookman Old Style"/>
          <w:sz w:val="24"/>
          <w:szCs w:val="24"/>
        </w:rPr>
      </w:pPr>
    </w:p>
    <w:tbl>
      <w:tblPr>
        <w:tblW w:w="5000" w:type="pct"/>
        <w:tblLook w:val="04A0" w:firstRow="1" w:lastRow="0" w:firstColumn="1" w:lastColumn="0" w:noHBand="0" w:noVBand="1"/>
      </w:tblPr>
      <w:tblGrid>
        <w:gridCol w:w="927"/>
        <w:gridCol w:w="2844"/>
        <w:gridCol w:w="1291"/>
        <w:gridCol w:w="1044"/>
        <w:gridCol w:w="1472"/>
        <w:gridCol w:w="1472"/>
      </w:tblGrid>
      <w:tr w:rsidR="00D73FD9" w:rsidRPr="00BB4145" w14:paraId="41C0FE96" w14:textId="77777777" w:rsidTr="00BB4145">
        <w:trPr>
          <w:trHeight w:val="288"/>
        </w:trPr>
        <w:tc>
          <w:tcPr>
            <w:tcW w:w="465" w:type="pct"/>
            <w:tcBorders>
              <w:top w:val="single" w:sz="8" w:space="0" w:color="auto"/>
              <w:left w:val="single" w:sz="8" w:space="0" w:color="auto"/>
              <w:bottom w:val="nil"/>
              <w:right w:val="nil"/>
            </w:tcBorders>
            <w:shd w:val="clear" w:color="auto" w:fill="auto"/>
            <w:noWrap/>
            <w:vAlign w:val="bottom"/>
            <w:hideMark/>
          </w:tcPr>
          <w:p w14:paraId="3ABF653A"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ÉLÉMENT </w:t>
            </w:r>
          </w:p>
        </w:tc>
        <w:tc>
          <w:tcPr>
            <w:tcW w:w="1851" w:type="pct"/>
            <w:tcBorders>
              <w:top w:val="single" w:sz="8" w:space="0" w:color="auto"/>
              <w:left w:val="single" w:sz="8" w:space="0" w:color="auto"/>
              <w:bottom w:val="nil"/>
              <w:right w:val="single" w:sz="8" w:space="0" w:color="auto"/>
            </w:tcBorders>
            <w:shd w:val="clear" w:color="auto" w:fill="auto"/>
            <w:noWrap/>
            <w:vAlign w:val="bottom"/>
            <w:hideMark/>
          </w:tcPr>
          <w:p w14:paraId="5B9B4739"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DÉPENSES/REVENUS </w:t>
            </w:r>
          </w:p>
        </w:tc>
        <w:tc>
          <w:tcPr>
            <w:tcW w:w="688" w:type="pct"/>
            <w:tcBorders>
              <w:top w:val="single" w:sz="8" w:space="0" w:color="auto"/>
              <w:left w:val="single" w:sz="8" w:space="0" w:color="auto"/>
              <w:bottom w:val="nil"/>
              <w:right w:val="single" w:sz="8" w:space="0" w:color="auto"/>
            </w:tcBorders>
            <w:shd w:val="clear" w:color="auto" w:fill="auto"/>
            <w:noWrap/>
            <w:vAlign w:val="bottom"/>
            <w:hideMark/>
          </w:tcPr>
          <w:p w14:paraId="6F0837C9"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COURANT </w:t>
            </w:r>
          </w:p>
        </w:tc>
        <w:tc>
          <w:tcPr>
            <w:tcW w:w="549" w:type="pct"/>
            <w:tcBorders>
              <w:top w:val="single" w:sz="8" w:space="0" w:color="auto"/>
              <w:left w:val="nil"/>
              <w:bottom w:val="nil"/>
              <w:right w:val="single" w:sz="8" w:space="0" w:color="auto"/>
            </w:tcBorders>
            <w:shd w:val="clear" w:color="auto" w:fill="auto"/>
            <w:noWrap/>
            <w:vAlign w:val="bottom"/>
            <w:hideMark/>
          </w:tcPr>
          <w:p w14:paraId="2951114F"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PROPOSÉ </w:t>
            </w:r>
          </w:p>
        </w:tc>
        <w:tc>
          <w:tcPr>
            <w:tcW w:w="724" w:type="pct"/>
            <w:tcBorders>
              <w:top w:val="single" w:sz="8" w:space="0" w:color="auto"/>
              <w:left w:val="nil"/>
              <w:bottom w:val="nil"/>
              <w:right w:val="single" w:sz="8" w:space="0" w:color="auto"/>
            </w:tcBorders>
            <w:shd w:val="clear" w:color="auto" w:fill="auto"/>
            <w:noWrap/>
            <w:vAlign w:val="bottom"/>
            <w:hideMark/>
          </w:tcPr>
          <w:p w14:paraId="2611BDC5"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AUGMENTATION </w:t>
            </w:r>
          </w:p>
        </w:tc>
        <w:tc>
          <w:tcPr>
            <w:tcW w:w="724" w:type="pct"/>
            <w:tcBorders>
              <w:top w:val="single" w:sz="8" w:space="0" w:color="auto"/>
              <w:left w:val="nil"/>
              <w:bottom w:val="nil"/>
              <w:right w:val="single" w:sz="8" w:space="0" w:color="auto"/>
            </w:tcBorders>
            <w:shd w:val="clear" w:color="auto" w:fill="auto"/>
            <w:noWrap/>
            <w:vAlign w:val="bottom"/>
            <w:hideMark/>
          </w:tcPr>
          <w:p w14:paraId="11A9FFA4"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AUGMENTATION </w:t>
            </w:r>
          </w:p>
        </w:tc>
      </w:tr>
      <w:tr w:rsidR="00D73FD9" w:rsidRPr="00BB4145" w14:paraId="510B3160" w14:textId="77777777" w:rsidTr="00BB4145">
        <w:trPr>
          <w:trHeight w:val="288"/>
        </w:trPr>
        <w:tc>
          <w:tcPr>
            <w:tcW w:w="465" w:type="pct"/>
            <w:tcBorders>
              <w:top w:val="nil"/>
              <w:left w:val="single" w:sz="8" w:space="0" w:color="auto"/>
              <w:bottom w:val="nil"/>
              <w:right w:val="nil"/>
            </w:tcBorders>
            <w:shd w:val="clear" w:color="auto" w:fill="auto"/>
            <w:noWrap/>
            <w:vAlign w:val="bottom"/>
            <w:hideMark/>
          </w:tcPr>
          <w:p w14:paraId="23F38953"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NO. </w:t>
            </w:r>
          </w:p>
        </w:tc>
        <w:tc>
          <w:tcPr>
            <w:tcW w:w="1851" w:type="pct"/>
            <w:tcBorders>
              <w:top w:val="nil"/>
              <w:left w:val="single" w:sz="8" w:space="0" w:color="auto"/>
              <w:bottom w:val="nil"/>
              <w:right w:val="single" w:sz="8" w:space="0" w:color="auto"/>
            </w:tcBorders>
            <w:shd w:val="clear" w:color="auto" w:fill="auto"/>
            <w:noWrap/>
            <w:vAlign w:val="bottom"/>
            <w:hideMark/>
          </w:tcPr>
          <w:p w14:paraId="50E7FDE8"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CATÉGORIE </w:t>
            </w:r>
          </w:p>
        </w:tc>
        <w:tc>
          <w:tcPr>
            <w:tcW w:w="688" w:type="pct"/>
            <w:tcBorders>
              <w:top w:val="nil"/>
              <w:left w:val="single" w:sz="8" w:space="0" w:color="auto"/>
              <w:bottom w:val="nil"/>
              <w:right w:val="single" w:sz="8" w:space="0" w:color="auto"/>
            </w:tcBorders>
            <w:shd w:val="clear" w:color="auto" w:fill="auto"/>
            <w:noWrap/>
            <w:vAlign w:val="bottom"/>
            <w:hideMark/>
          </w:tcPr>
          <w:p w14:paraId="6F04956E"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APPROUVÉ</w:t>
            </w:r>
          </w:p>
        </w:tc>
        <w:tc>
          <w:tcPr>
            <w:tcW w:w="549" w:type="pct"/>
            <w:tcBorders>
              <w:top w:val="nil"/>
              <w:left w:val="nil"/>
              <w:bottom w:val="nil"/>
              <w:right w:val="single" w:sz="8" w:space="0" w:color="auto"/>
            </w:tcBorders>
            <w:shd w:val="clear" w:color="auto" w:fill="auto"/>
            <w:noWrap/>
            <w:vAlign w:val="bottom"/>
            <w:hideMark/>
          </w:tcPr>
          <w:p w14:paraId="1DE5893C"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BUDGET</w:t>
            </w:r>
          </w:p>
        </w:tc>
        <w:tc>
          <w:tcPr>
            <w:tcW w:w="724" w:type="pct"/>
            <w:tcBorders>
              <w:top w:val="nil"/>
              <w:left w:val="nil"/>
              <w:bottom w:val="nil"/>
              <w:right w:val="single" w:sz="8" w:space="0" w:color="auto"/>
            </w:tcBorders>
            <w:shd w:val="clear" w:color="auto" w:fill="auto"/>
            <w:noWrap/>
            <w:vAlign w:val="bottom"/>
            <w:hideMark/>
          </w:tcPr>
          <w:p w14:paraId="09CE8869"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(BAISSE)</w:t>
            </w:r>
          </w:p>
        </w:tc>
        <w:tc>
          <w:tcPr>
            <w:tcW w:w="724" w:type="pct"/>
            <w:tcBorders>
              <w:top w:val="nil"/>
              <w:left w:val="nil"/>
              <w:bottom w:val="nil"/>
              <w:right w:val="single" w:sz="8" w:space="0" w:color="auto"/>
            </w:tcBorders>
            <w:shd w:val="clear" w:color="auto" w:fill="auto"/>
            <w:noWrap/>
            <w:vAlign w:val="bottom"/>
            <w:hideMark/>
          </w:tcPr>
          <w:p w14:paraId="5353CDCE"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(BAISSE)</w:t>
            </w:r>
          </w:p>
        </w:tc>
      </w:tr>
      <w:tr w:rsidR="00D73FD9" w:rsidRPr="00BB4145" w14:paraId="5376AFA5" w14:textId="77777777" w:rsidTr="00BB4145">
        <w:trPr>
          <w:trHeight w:val="288"/>
        </w:trPr>
        <w:tc>
          <w:tcPr>
            <w:tcW w:w="465" w:type="pct"/>
            <w:tcBorders>
              <w:top w:val="nil"/>
              <w:left w:val="single" w:sz="8" w:space="0" w:color="auto"/>
              <w:bottom w:val="nil"/>
              <w:right w:val="nil"/>
            </w:tcBorders>
            <w:shd w:val="clear" w:color="auto" w:fill="auto"/>
            <w:noWrap/>
            <w:vAlign w:val="bottom"/>
            <w:hideMark/>
          </w:tcPr>
          <w:p w14:paraId="35720C0A"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1851" w:type="pct"/>
            <w:tcBorders>
              <w:top w:val="nil"/>
              <w:left w:val="single" w:sz="8" w:space="0" w:color="auto"/>
              <w:bottom w:val="nil"/>
              <w:right w:val="single" w:sz="8" w:space="0" w:color="auto"/>
            </w:tcBorders>
            <w:shd w:val="clear" w:color="auto" w:fill="auto"/>
            <w:noWrap/>
            <w:vAlign w:val="bottom"/>
            <w:hideMark/>
          </w:tcPr>
          <w:p w14:paraId="73449F24"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88" w:type="pct"/>
            <w:tcBorders>
              <w:top w:val="nil"/>
              <w:left w:val="single" w:sz="8" w:space="0" w:color="auto"/>
              <w:bottom w:val="nil"/>
              <w:right w:val="single" w:sz="8" w:space="0" w:color="auto"/>
            </w:tcBorders>
            <w:shd w:val="clear" w:color="auto" w:fill="auto"/>
            <w:noWrap/>
            <w:vAlign w:val="bottom"/>
            <w:hideMark/>
          </w:tcPr>
          <w:p w14:paraId="2A9A1B2B"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BUDGET</w:t>
            </w:r>
          </w:p>
        </w:tc>
        <w:tc>
          <w:tcPr>
            <w:tcW w:w="549" w:type="pct"/>
            <w:tcBorders>
              <w:top w:val="nil"/>
              <w:left w:val="nil"/>
              <w:bottom w:val="nil"/>
              <w:right w:val="single" w:sz="8" w:space="0" w:color="auto"/>
            </w:tcBorders>
            <w:shd w:val="clear" w:color="auto" w:fill="auto"/>
            <w:noWrap/>
            <w:vAlign w:val="bottom"/>
            <w:hideMark/>
          </w:tcPr>
          <w:p w14:paraId="75111A75"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724" w:type="pct"/>
            <w:tcBorders>
              <w:top w:val="nil"/>
              <w:left w:val="nil"/>
              <w:bottom w:val="nil"/>
              <w:right w:val="single" w:sz="8" w:space="0" w:color="auto"/>
            </w:tcBorders>
            <w:shd w:val="clear" w:color="auto" w:fill="auto"/>
            <w:noWrap/>
            <w:vAlign w:val="bottom"/>
            <w:hideMark/>
          </w:tcPr>
          <w:p w14:paraId="2C30F28A"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724" w:type="pct"/>
            <w:tcBorders>
              <w:top w:val="nil"/>
              <w:left w:val="nil"/>
              <w:bottom w:val="nil"/>
              <w:right w:val="single" w:sz="8" w:space="0" w:color="auto"/>
            </w:tcBorders>
            <w:shd w:val="clear" w:color="auto" w:fill="auto"/>
            <w:noWrap/>
            <w:vAlign w:val="bottom"/>
            <w:hideMark/>
          </w:tcPr>
          <w:p w14:paraId="6CD571AB"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r>
      <w:tr w:rsidR="00D73FD9" w:rsidRPr="00BB4145" w14:paraId="53BB5316" w14:textId="77777777" w:rsidTr="00BB4145">
        <w:trPr>
          <w:trHeight w:val="288"/>
        </w:trPr>
        <w:tc>
          <w:tcPr>
            <w:tcW w:w="465" w:type="pct"/>
            <w:tcBorders>
              <w:top w:val="nil"/>
              <w:left w:val="single" w:sz="8" w:space="0" w:color="auto"/>
              <w:bottom w:val="nil"/>
              <w:right w:val="nil"/>
            </w:tcBorders>
            <w:shd w:val="clear" w:color="auto" w:fill="auto"/>
            <w:noWrap/>
            <w:vAlign w:val="bottom"/>
            <w:hideMark/>
          </w:tcPr>
          <w:p w14:paraId="0B3D36F8"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1851" w:type="pct"/>
            <w:tcBorders>
              <w:top w:val="nil"/>
              <w:left w:val="single" w:sz="8" w:space="0" w:color="auto"/>
              <w:bottom w:val="nil"/>
              <w:right w:val="single" w:sz="8" w:space="0" w:color="auto"/>
            </w:tcBorders>
            <w:shd w:val="clear" w:color="auto" w:fill="auto"/>
            <w:noWrap/>
            <w:vAlign w:val="bottom"/>
            <w:hideMark/>
          </w:tcPr>
          <w:p w14:paraId="46727C65"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88" w:type="pct"/>
            <w:tcBorders>
              <w:top w:val="nil"/>
              <w:left w:val="single" w:sz="8" w:space="0" w:color="auto"/>
              <w:bottom w:val="nil"/>
              <w:right w:val="single" w:sz="8" w:space="0" w:color="auto"/>
            </w:tcBorders>
            <w:shd w:val="clear" w:color="auto" w:fill="auto"/>
            <w:noWrap/>
            <w:vAlign w:val="bottom"/>
            <w:hideMark/>
          </w:tcPr>
          <w:p w14:paraId="311B004A"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2022-2023</w:t>
            </w:r>
          </w:p>
        </w:tc>
        <w:tc>
          <w:tcPr>
            <w:tcW w:w="549" w:type="pct"/>
            <w:tcBorders>
              <w:top w:val="nil"/>
              <w:left w:val="nil"/>
              <w:bottom w:val="nil"/>
              <w:right w:val="single" w:sz="8" w:space="0" w:color="auto"/>
            </w:tcBorders>
            <w:shd w:val="clear" w:color="auto" w:fill="auto"/>
            <w:noWrap/>
            <w:vAlign w:val="bottom"/>
            <w:hideMark/>
          </w:tcPr>
          <w:p w14:paraId="73E6E94D"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2023-2024</w:t>
            </w:r>
          </w:p>
        </w:tc>
        <w:tc>
          <w:tcPr>
            <w:tcW w:w="724" w:type="pct"/>
            <w:tcBorders>
              <w:top w:val="nil"/>
              <w:left w:val="nil"/>
              <w:bottom w:val="nil"/>
              <w:right w:val="single" w:sz="8" w:space="0" w:color="auto"/>
            </w:tcBorders>
            <w:shd w:val="clear" w:color="auto" w:fill="auto"/>
            <w:noWrap/>
            <w:vAlign w:val="bottom"/>
            <w:hideMark/>
          </w:tcPr>
          <w:p w14:paraId="7C9127AE"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724" w:type="pct"/>
            <w:tcBorders>
              <w:top w:val="nil"/>
              <w:left w:val="nil"/>
              <w:bottom w:val="nil"/>
              <w:right w:val="single" w:sz="8" w:space="0" w:color="auto"/>
            </w:tcBorders>
            <w:shd w:val="clear" w:color="auto" w:fill="auto"/>
            <w:noWrap/>
            <w:vAlign w:val="bottom"/>
            <w:hideMark/>
          </w:tcPr>
          <w:p w14:paraId="67AC3006"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r>
      <w:tr w:rsidR="00D73FD9" w:rsidRPr="00BB4145" w14:paraId="0444C8D5" w14:textId="77777777" w:rsidTr="00BB4145">
        <w:trPr>
          <w:trHeight w:val="288"/>
        </w:trPr>
        <w:tc>
          <w:tcPr>
            <w:tcW w:w="465" w:type="pct"/>
            <w:tcBorders>
              <w:top w:val="nil"/>
              <w:left w:val="single" w:sz="8" w:space="0" w:color="auto"/>
              <w:bottom w:val="single" w:sz="8" w:space="0" w:color="auto"/>
              <w:right w:val="nil"/>
            </w:tcBorders>
            <w:shd w:val="clear" w:color="auto" w:fill="auto"/>
            <w:noWrap/>
            <w:vAlign w:val="bottom"/>
            <w:hideMark/>
          </w:tcPr>
          <w:p w14:paraId="546F44F6"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1851" w:type="pct"/>
            <w:tcBorders>
              <w:top w:val="nil"/>
              <w:left w:val="single" w:sz="8" w:space="0" w:color="auto"/>
              <w:bottom w:val="single" w:sz="8" w:space="0" w:color="auto"/>
              <w:right w:val="single" w:sz="8" w:space="0" w:color="auto"/>
            </w:tcBorders>
            <w:shd w:val="clear" w:color="auto" w:fill="auto"/>
            <w:noWrap/>
            <w:vAlign w:val="bottom"/>
            <w:hideMark/>
          </w:tcPr>
          <w:p w14:paraId="4BB586A1"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w:t>
            </w:r>
          </w:p>
        </w:tc>
        <w:tc>
          <w:tcPr>
            <w:tcW w:w="688" w:type="pct"/>
            <w:tcBorders>
              <w:top w:val="nil"/>
              <w:left w:val="single" w:sz="8" w:space="0" w:color="auto"/>
              <w:bottom w:val="single" w:sz="8" w:space="0" w:color="auto"/>
              <w:right w:val="single" w:sz="8" w:space="0" w:color="auto"/>
            </w:tcBorders>
            <w:shd w:val="clear" w:color="auto" w:fill="auto"/>
            <w:noWrap/>
            <w:vAlign w:val="bottom"/>
            <w:hideMark/>
          </w:tcPr>
          <w:p w14:paraId="0DFAB299"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N$ </w:t>
            </w:r>
          </w:p>
        </w:tc>
        <w:tc>
          <w:tcPr>
            <w:tcW w:w="549" w:type="pct"/>
            <w:tcBorders>
              <w:top w:val="nil"/>
              <w:left w:val="nil"/>
              <w:bottom w:val="single" w:sz="8" w:space="0" w:color="auto"/>
              <w:right w:val="single" w:sz="8" w:space="0" w:color="auto"/>
            </w:tcBorders>
            <w:shd w:val="clear" w:color="auto" w:fill="auto"/>
            <w:noWrap/>
            <w:vAlign w:val="bottom"/>
            <w:hideMark/>
          </w:tcPr>
          <w:p w14:paraId="65A23E78"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N$ </w:t>
            </w:r>
          </w:p>
        </w:tc>
        <w:tc>
          <w:tcPr>
            <w:tcW w:w="724" w:type="pct"/>
            <w:tcBorders>
              <w:top w:val="nil"/>
              <w:left w:val="nil"/>
              <w:bottom w:val="single" w:sz="8" w:space="0" w:color="auto"/>
              <w:right w:val="single" w:sz="8" w:space="0" w:color="auto"/>
            </w:tcBorders>
            <w:shd w:val="clear" w:color="auto" w:fill="auto"/>
            <w:noWrap/>
            <w:vAlign w:val="bottom"/>
            <w:hideMark/>
          </w:tcPr>
          <w:p w14:paraId="1C4365DA"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xml:space="preserve"> N$ </w:t>
            </w:r>
          </w:p>
        </w:tc>
        <w:tc>
          <w:tcPr>
            <w:tcW w:w="724" w:type="pct"/>
            <w:tcBorders>
              <w:top w:val="nil"/>
              <w:left w:val="nil"/>
              <w:bottom w:val="single" w:sz="8" w:space="0" w:color="auto"/>
              <w:right w:val="single" w:sz="8" w:space="0" w:color="auto"/>
            </w:tcBorders>
            <w:shd w:val="clear" w:color="auto" w:fill="auto"/>
            <w:noWrap/>
            <w:vAlign w:val="bottom"/>
            <w:hideMark/>
          </w:tcPr>
          <w:p w14:paraId="60A71105" w14:textId="77777777" w:rsidR="00D73FD9" w:rsidRPr="00BB4145" w:rsidRDefault="00D73FD9" w:rsidP="00BB4145">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 </w:t>
            </w:r>
          </w:p>
        </w:tc>
      </w:tr>
      <w:tr w:rsidR="00D73FD9" w:rsidRPr="00BB4145" w14:paraId="2CF53829" w14:textId="77777777" w:rsidTr="00BB4145">
        <w:trPr>
          <w:trHeight w:val="288"/>
        </w:trPr>
        <w:tc>
          <w:tcPr>
            <w:tcW w:w="465" w:type="pct"/>
            <w:tcBorders>
              <w:top w:val="nil"/>
              <w:left w:val="single" w:sz="8" w:space="0" w:color="auto"/>
              <w:bottom w:val="dashed" w:sz="4" w:space="0" w:color="auto"/>
              <w:right w:val="single" w:sz="8" w:space="0" w:color="auto"/>
            </w:tcBorders>
            <w:shd w:val="clear" w:color="auto" w:fill="auto"/>
            <w:noWrap/>
            <w:vAlign w:val="bottom"/>
            <w:hideMark/>
          </w:tcPr>
          <w:p w14:paraId="5DD948F3"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1851" w:type="pct"/>
            <w:tcBorders>
              <w:top w:val="dashed" w:sz="4" w:space="0" w:color="auto"/>
              <w:left w:val="nil"/>
              <w:bottom w:val="dashed" w:sz="4" w:space="0" w:color="auto"/>
              <w:right w:val="single" w:sz="8" w:space="0" w:color="auto"/>
            </w:tcBorders>
            <w:shd w:val="clear" w:color="auto" w:fill="auto"/>
            <w:noWrap/>
            <w:vAlign w:val="bottom"/>
            <w:hideMark/>
          </w:tcPr>
          <w:p w14:paraId="73D08D9B"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REVENU </w:t>
            </w:r>
          </w:p>
        </w:tc>
        <w:tc>
          <w:tcPr>
            <w:tcW w:w="688" w:type="pct"/>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2D572C4" w14:textId="77777777" w:rsidR="00D73FD9" w:rsidRPr="00BB4145" w:rsidRDefault="00D73FD9" w:rsidP="00D73FD9">
            <w:pPr>
              <w:spacing w:after="0" w:line="240" w:lineRule="auto"/>
              <w:rPr>
                <w:rFonts w:ascii="Arial Narrow" w:eastAsia="Times New Roman" w:hAnsi="Arial Narrow" w:cs="Calibri"/>
                <w:sz w:val="20"/>
                <w:szCs w:val="20"/>
              </w:rPr>
            </w:pPr>
            <w:r w:rsidRPr="00BB4145">
              <w:rPr>
                <w:rFonts w:ascii="Arial Narrow" w:hAnsi="Arial Narrow"/>
                <w:sz w:val="20"/>
                <w:szCs w:val="20"/>
              </w:rPr>
              <w:t> </w:t>
            </w:r>
          </w:p>
        </w:tc>
        <w:tc>
          <w:tcPr>
            <w:tcW w:w="549" w:type="pct"/>
            <w:tcBorders>
              <w:top w:val="dotted" w:sz="4" w:space="0" w:color="auto"/>
              <w:left w:val="nil"/>
              <w:bottom w:val="dotted" w:sz="4" w:space="0" w:color="auto"/>
              <w:right w:val="single" w:sz="8" w:space="0" w:color="auto"/>
            </w:tcBorders>
            <w:shd w:val="clear" w:color="auto" w:fill="auto"/>
            <w:noWrap/>
            <w:vAlign w:val="bottom"/>
            <w:hideMark/>
          </w:tcPr>
          <w:p w14:paraId="71A07BA1" w14:textId="77777777" w:rsidR="00D73FD9" w:rsidRPr="00BB4145" w:rsidRDefault="00D73FD9" w:rsidP="00D73FD9">
            <w:pPr>
              <w:spacing w:after="0" w:line="240" w:lineRule="auto"/>
              <w:rPr>
                <w:rFonts w:ascii="Arial Narrow" w:eastAsia="Times New Roman" w:hAnsi="Arial Narrow" w:cs="Calibri"/>
                <w:sz w:val="20"/>
                <w:szCs w:val="20"/>
              </w:rPr>
            </w:pPr>
            <w:r w:rsidRPr="00BB4145">
              <w:rPr>
                <w:rFonts w:ascii="Arial Narrow" w:hAnsi="Arial Narrow"/>
                <w:sz w:val="20"/>
                <w:szCs w:val="20"/>
              </w:rPr>
              <w:t> </w:t>
            </w:r>
          </w:p>
        </w:tc>
        <w:tc>
          <w:tcPr>
            <w:tcW w:w="724" w:type="pct"/>
            <w:tcBorders>
              <w:top w:val="dotted" w:sz="4" w:space="0" w:color="auto"/>
              <w:left w:val="nil"/>
              <w:bottom w:val="dotted" w:sz="4" w:space="0" w:color="auto"/>
              <w:right w:val="single" w:sz="8" w:space="0" w:color="auto"/>
            </w:tcBorders>
            <w:shd w:val="clear" w:color="auto" w:fill="auto"/>
            <w:noWrap/>
            <w:vAlign w:val="bottom"/>
            <w:hideMark/>
          </w:tcPr>
          <w:p w14:paraId="34B3B2B2" w14:textId="77777777" w:rsidR="00D73FD9" w:rsidRPr="00BB4145" w:rsidRDefault="00D73FD9" w:rsidP="00D73FD9">
            <w:pPr>
              <w:spacing w:after="0" w:line="240" w:lineRule="auto"/>
              <w:rPr>
                <w:rFonts w:ascii="Arial Narrow" w:eastAsia="Times New Roman" w:hAnsi="Arial Narrow" w:cs="Calibri"/>
                <w:sz w:val="20"/>
                <w:szCs w:val="20"/>
              </w:rPr>
            </w:pPr>
            <w:r w:rsidRPr="00BB4145">
              <w:rPr>
                <w:rFonts w:ascii="Arial Narrow" w:hAnsi="Arial Narrow"/>
                <w:sz w:val="20"/>
                <w:szCs w:val="20"/>
              </w:rPr>
              <w:t> </w:t>
            </w:r>
          </w:p>
        </w:tc>
        <w:tc>
          <w:tcPr>
            <w:tcW w:w="724" w:type="pct"/>
            <w:tcBorders>
              <w:top w:val="dotted" w:sz="4" w:space="0" w:color="auto"/>
              <w:left w:val="nil"/>
              <w:bottom w:val="dotted" w:sz="4" w:space="0" w:color="auto"/>
              <w:right w:val="single" w:sz="8" w:space="0" w:color="auto"/>
            </w:tcBorders>
            <w:shd w:val="clear" w:color="auto" w:fill="auto"/>
            <w:noWrap/>
            <w:vAlign w:val="bottom"/>
            <w:hideMark/>
          </w:tcPr>
          <w:p w14:paraId="6CDB1D05" w14:textId="77777777" w:rsidR="00D73FD9" w:rsidRPr="00BB4145" w:rsidRDefault="00D73FD9" w:rsidP="00D73FD9">
            <w:pPr>
              <w:spacing w:after="0" w:line="240" w:lineRule="auto"/>
              <w:rPr>
                <w:rFonts w:ascii="Arial Narrow" w:eastAsia="Times New Roman" w:hAnsi="Arial Narrow" w:cs="Calibri"/>
                <w:sz w:val="20"/>
                <w:szCs w:val="20"/>
              </w:rPr>
            </w:pPr>
            <w:r w:rsidRPr="00BB4145">
              <w:rPr>
                <w:rFonts w:ascii="Arial Narrow" w:hAnsi="Arial Narrow"/>
                <w:sz w:val="20"/>
                <w:szCs w:val="20"/>
              </w:rPr>
              <w:t> </w:t>
            </w:r>
          </w:p>
        </w:tc>
      </w:tr>
      <w:tr w:rsidR="00D73FD9" w:rsidRPr="00BB4145" w14:paraId="087A3A95" w14:textId="77777777" w:rsidTr="00BB4145">
        <w:trPr>
          <w:trHeight w:val="288"/>
        </w:trPr>
        <w:tc>
          <w:tcPr>
            <w:tcW w:w="465" w:type="pct"/>
            <w:tcBorders>
              <w:top w:val="nil"/>
              <w:left w:val="single" w:sz="8" w:space="0" w:color="auto"/>
              <w:bottom w:val="dashed" w:sz="4" w:space="0" w:color="auto"/>
              <w:right w:val="single" w:sz="8" w:space="0" w:color="auto"/>
            </w:tcBorders>
            <w:shd w:val="clear" w:color="auto" w:fill="auto"/>
            <w:noWrap/>
            <w:vAlign w:val="bottom"/>
            <w:hideMark/>
          </w:tcPr>
          <w:p w14:paraId="567853BC"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A</w:t>
            </w:r>
          </w:p>
        </w:tc>
        <w:tc>
          <w:tcPr>
            <w:tcW w:w="1851" w:type="pct"/>
            <w:tcBorders>
              <w:top w:val="nil"/>
              <w:left w:val="nil"/>
              <w:bottom w:val="dashed" w:sz="4" w:space="0" w:color="auto"/>
              <w:right w:val="single" w:sz="8" w:space="0" w:color="auto"/>
            </w:tcBorders>
            <w:shd w:val="clear" w:color="auto" w:fill="auto"/>
            <w:noWrap/>
            <w:vAlign w:val="bottom"/>
            <w:hideMark/>
          </w:tcPr>
          <w:p w14:paraId="61314124"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Cotisations obligatoires annuelles </w:t>
            </w:r>
          </w:p>
        </w:tc>
        <w:tc>
          <w:tcPr>
            <w:tcW w:w="688" w:type="pct"/>
            <w:tcBorders>
              <w:top w:val="nil"/>
              <w:left w:val="single" w:sz="8" w:space="0" w:color="auto"/>
              <w:bottom w:val="dotted" w:sz="4" w:space="0" w:color="auto"/>
              <w:right w:val="single" w:sz="8" w:space="0" w:color="auto"/>
            </w:tcBorders>
            <w:shd w:val="clear" w:color="auto" w:fill="auto"/>
            <w:noWrap/>
            <w:vAlign w:val="bottom"/>
            <w:hideMark/>
          </w:tcPr>
          <w:p w14:paraId="399CE6DB"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21148050 </w:t>
            </w:r>
          </w:p>
        </w:tc>
        <w:tc>
          <w:tcPr>
            <w:tcW w:w="549" w:type="pct"/>
            <w:tcBorders>
              <w:top w:val="nil"/>
              <w:left w:val="nil"/>
              <w:bottom w:val="dotted" w:sz="4" w:space="0" w:color="auto"/>
              <w:right w:val="single" w:sz="8" w:space="0" w:color="auto"/>
            </w:tcBorders>
            <w:shd w:val="clear" w:color="auto" w:fill="auto"/>
            <w:noWrap/>
            <w:vAlign w:val="bottom"/>
            <w:hideMark/>
          </w:tcPr>
          <w:p w14:paraId="53514529"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21148050 </w:t>
            </w:r>
          </w:p>
        </w:tc>
        <w:tc>
          <w:tcPr>
            <w:tcW w:w="724" w:type="pct"/>
            <w:tcBorders>
              <w:top w:val="nil"/>
              <w:left w:val="nil"/>
              <w:bottom w:val="dotted" w:sz="4" w:space="0" w:color="auto"/>
              <w:right w:val="single" w:sz="8" w:space="0" w:color="auto"/>
            </w:tcBorders>
            <w:shd w:val="clear" w:color="auto" w:fill="auto"/>
            <w:noWrap/>
            <w:vAlign w:val="bottom"/>
            <w:hideMark/>
          </w:tcPr>
          <w:p w14:paraId="6FD71B6B"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w:t>
            </w:r>
            <w:r w:rsidRPr="00BB4145">
              <w:rPr>
                <w:rFonts w:ascii="Arial Narrow" w:hAnsi="Arial Narrow"/>
                <w:b/>
                <w:bCs/>
                <w:sz w:val="20"/>
                <w:szCs w:val="20"/>
              </w:rPr>
              <w:t>-</w:t>
            </w:r>
            <w:r w:rsidRPr="00BB4145">
              <w:rPr>
                <w:rFonts w:ascii="Arial Narrow" w:hAnsi="Arial Narrow"/>
                <w:b/>
                <w:sz w:val="20"/>
                <w:szCs w:val="20"/>
              </w:rPr>
              <w:t xml:space="preserve">   </w:t>
            </w:r>
          </w:p>
        </w:tc>
        <w:tc>
          <w:tcPr>
            <w:tcW w:w="724" w:type="pct"/>
            <w:tcBorders>
              <w:top w:val="nil"/>
              <w:left w:val="nil"/>
              <w:bottom w:val="dotted" w:sz="4" w:space="0" w:color="auto"/>
              <w:right w:val="single" w:sz="8" w:space="0" w:color="auto"/>
            </w:tcBorders>
            <w:shd w:val="clear" w:color="auto" w:fill="auto"/>
            <w:noWrap/>
            <w:vAlign w:val="bottom"/>
            <w:hideMark/>
          </w:tcPr>
          <w:p w14:paraId="2A43DCCC" w14:textId="77777777" w:rsidR="00D73FD9" w:rsidRPr="00BB4145" w:rsidRDefault="00D73FD9" w:rsidP="00BB4145">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0%</w:t>
            </w:r>
          </w:p>
        </w:tc>
      </w:tr>
      <w:tr w:rsidR="00D73FD9" w:rsidRPr="00BB4145" w14:paraId="419C977C" w14:textId="77777777" w:rsidTr="00BB4145">
        <w:trPr>
          <w:trHeight w:val="288"/>
        </w:trPr>
        <w:tc>
          <w:tcPr>
            <w:tcW w:w="465" w:type="pct"/>
            <w:tcBorders>
              <w:top w:val="nil"/>
              <w:left w:val="single" w:sz="8" w:space="0" w:color="auto"/>
              <w:bottom w:val="dashed" w:sz="4" w:space="0" w:color="auto"/>
              <w:right w:val="single" w:sz="8" w:space="0" w:color="auto"/>
            </w:tcBorders>
            <w:shd w:val="clear" w:color="auto" w:fill="auto"/>
            <w:noWrap/>
            <w:vAlign w:val="bottom"/>
            <w:hideMark/>
          </w:tcPr>
          <w:p w14:paraId="542609A5"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B</w:t>
            </w:r>
          </w:p>
        </w:tc>
        <w:tc>
          <w:tcPr>
            <w:tcW w:w="1851" w:type="pct"/>
            <w:tcBorders>
              <w:top w:val="nil"/>
              <w:left w:val="nil"/>
              <w:bottom w:val="dashed" w:sz="4" w:space="0" w:color="auto"/>
              <w:right w:val="single" w:sz="8" w:space="0" w:color="auto"/>
            </w:tcBorders>
            <w:shd w:val="clear" w:color="auto" w:fill="auto"/>
            <w:noWrap/>
            <w:vAlign w:val="bottom"/>
            <w:hideMark/>
          </w:tcPr>
          <w:p w14:paraId="524CDC87"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Intérêts à recevoir </w:t>
            </w:r>
          </w:p>
        </w:tc>
        <w:tc>
          <w:tcPr>
            <w:tcW w:w="688" w:type="pct"/>
            <w:tcBorders>
              <w:top w:val="nil"/>
              <w:left w:val="single" w:sz="8" w:space="0" w:color="auto"/>
              <w:bottom w:val="dotted" w:sz="4" w:space="0" w:color="auto"/>
              <w:right w:val="single" w:sz="8" w:space="0" w:color="auto"/>
            </w:tcBorders>
            <w:shd w:val="clear" w:color="auto" w:fill="auto"/>
            <w:noWrap/>
            <w:vAlign w:val="bottom"/>
            <w:hideMark/>
          </w:tcPr>
          <w:p w14:paraId="69B4FBDC"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180000 </w:t>
            </w:r>
          </w:p>
        </w:tc>
        <w:tc>
          <w:tcPr>
            <w:tcW w:w="549" w:type="pct"/>
            <w:tcBorders>
              <w:top w:val="nil"/>
              <w:left w:val="nil"/>
              <w:bottom w:val="dotted" w:sz="4" w:space="0" w:color="auto"/>
              <w:right w:val="single" w:sz="8" w:space="0" w:color="auto"/>
            </w:tcBorders>
            <w:shd w:val="clear" w:color="auto" w:fill="auto"/>
            <w:noWrap/>
            <w:vAlign w:val="bottom"/>
            <w:hideMark/>
          </w:tcPr>
          <w:p w14:paraId="5F2F1870"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240000 </w:t>
            </w:r>
          </w:p>
        </w:tc>
        <w:tc>
          <w:tcPr>
            <w:tcW w:w="724" w:type="pct"/>
            <w:tcBorders>
              <w:top w:val="nil"/>
              <w:left w:val="nil"/>
              <w:bottom w:val="dotted" w:sz="4" w:space="0" w:color="auto"/>
              <w:right w:val="single" w:sz="8" w:space="0" w:color="auto"/>
            </w:tcBorders>
            <w:shd w:val="clear" w:color="auto" w:fill="auto"/>
            <w:noWrap/>
            <w:vAlign w:val="bottom"/>
            <w:hideMark/>
          </w:tcPr>
          <w:p w14:paraId="2CC961A5"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60000 </w:t>
            </w:r>
          </w:p>
        </w:tc>
        <w:tc>
          <w:tcPr>
            <w:tcW w:w="724" w:type="pct"/>
            <w:tcBorders>
              <w:top w:val="nil"/>
              <w:left w:val="nil"/>
              <w:bottom w:val="dotted" w:sz="4" w:space="0" w:color="auto"/>
              <w:right w:val="single" w:sz="8" w:space="0" w:color="auto"/>
            </w:tcBorders>
            <w:shd w:val="clear" w:color="auto" w:fill="auto"/>
            <w:noWrap/>
            <w:vAlign w:val="bottom"/>
            <w:hideMark/>
          </w:tcPr>
          <w:p w14:paraId="44B3D26E" w14:textId="77777777" w:rsidR="00D73FD9" w:rsidRPr="00BB4145" w:rsidRDefault="00D73FD9" w:rsidP="00BB4145">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33%</w:t>
            </w:r>
          </w:p>
        </w:tc>
      </w:tr>
      <w:tr w:rsidR="00D73FD9" w:rsidRPr="00BB4145" w14:paraId="40D071A1" w14:textId="77777777" w:rsidTr="00BB4145">
        <w:trPr>
          <w:trHeight w:val="288"/>
        </w:trPr>
        <w:tc>
          <w:tcPr>
            <w:tcW w:w="465" w:type="pct"/>
            <w:tcBorders>
              <w:top w:val="nil"/>
              <w:left w:val="single" w:sz="8" w:space="0" w:color="auto"/>
              <w:bottom w:val="dashed" w:sz="4" w:space="0" w:color="auto"/>
              <w:right w:val="single" w:sz="8" w:space="0" w:color="auto"/>
            </w:tcBorders>
            <w:shd w:val="clear" w:color="auto" w:fill="auto"/>
            <w:noWrap/>
            <w:vAlign w:val="bottom"/>
            <w:hideMark/>
          </w:tcPr>
          <w:p w14:paraId="2F6C3B80"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C</w:t>
            </w:r>
          </w:p>
        </w:tc>
        <w:tc>
          <w:tcPr>
            <w:tcW w:w="1851" w:type="pct"/>
            <w:tcBorders>
              <w:top w:val="nil"/>
              <w:left w:val="nil"/>
              <w:bottom w:val="dashed" w:sz="4" w:space="0" w:color="auto"/>
              <w:right w:val="single" w:sz="8" w:space="0" w:color="auto"/>
            </w:tcBorders>
            <w:shd w:val="clear" w:color="auto" w:fill="auto"/>
            <w:noWrap/>
            <w:vAlign w:val="bottom"/>
            <w:hideMark/>
          </w:tcPr>
          <w:p w14:paraId="663373F7"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Autres recettes </w:t>
            </w:r>
          </w:p>
        </w:tc>
        <w:tc>
          <w:tcPr>
            <w:tcW w:w="688" w:type="pct"/>
            <w:tcBorders>
              <w:top w:val="nil"/>
              <w:left w:val="single" w:sz="8" w:space="0" w:color="auto"/>
              <w:bottom w:val="dotted" w:sz="4" w:space="0" w:color="auto"/>
              <w:right w:val="single" w:sz="8" w:space="0" w:color="auto"/>
            </w:tcBorders>
            <w:shd w:val="clear" w:color="auto" w:fill="auto"/>
            <w:noWrap/>
            <w:vAlign w:val="bottom"/>
            <w:hideMark/>
          </w:tcPr>
          <w:p w14:paraId="5EF4BC18"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4213104 </w:t>
            </w:r>
          </w:p>
        </w:tc>
        <w:tc>
          <w:tcPr>
            <w:tcW w:w="549" w:type="pct"/>
            <w:tcBorders>
              <w:top w:val="nil"/>
              <w:left w:val="nil"/>
              <w:bottom w:val="dotted" w:sz="4" w:space="0" w:color="auto"/>
              <w:right w:val="single" w:sz="8" w:space="0" w:color="auto"/>
            </w:tcBorders>
            <w:shd w:val="clear" w:color="auto" w:fill="auto"/>
            <w:noWrap/>
            <w:vAlign w:val="bottom"/>
            <w:hideMark/>
          </w:tcPr>
          <w:p w14:paraId="6DE0DE1A"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7000000 </w:t>
            </w:r>
          </w:p>
        </w:tc>
        <w:tc>
          <w:tcPr>
            <w:tcW w:w="724" w:type="pct"/>
            <w:tcBorders>
              <w:top w:val="nil"/>
              <w:left w:val="nil"/>
              <w:bottom w:val="dotted" w:sz="4" w:space="0" w:color="auto"/>
              <w:right w:val="single" w:sz="8" w:space="0" w:color="auto"/>
            </w:tcBorders>
            <w:shd w:val="clear" w:color="auto" w:fill="auto"/>
            <w:noWrap/>
            <w:vAlign w:val="bottom"/>
            <w:hideMark/>
          </w:tcPr>
          <w:p w14:paraId="66B56F2C"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2786896 </w:t>
            </w:r>
          </w:p>
        </w:tc>
        <w:tc>
          <w:tcPr>
            <w:tcW w:w="724" w:type="pct"/>
            <w:tcBorders>
              <w:top w:val="nil"/>
              <w:left w:val="nil"/>
              <w:bottom w:val="dotted" w:sz="4" w:space="0" w:color="auto"/>
              <w:right w:val="single" w:sz="8" w:space="0" w:color="auto"/>
            </w:tcBorders>
            <w:shd w:val="clear" w:color="auto" w:fill="auto"/>
            <w:noWrap/>
            <w:vAlign w:val="bottom"/>
            <w:hideMark/>
          </w:tcPr>
          <w:p w14:paraId="5976E232" w14:textId="77777777" w:rsidR="00D73FD9" w:rsidRPr="00BB4145" w:rsidRDefault="00D73FD9" w:rsidP="00D73FD9">
            <w:pPr>
              <w:spacing w:after="0" w:line="240" w:lineRule="auto"/>
              <w:jc w:val="right"/>
              <w:rPr>
                <w:rFonts w:ascii="Arial Narrow" w:eastAsia="Times New Roman" w:hAnsi="Arial Narrow" w:cs="Calibri"/>
                <w:b/>
                <w:bCs/>
                <w:sz w:val="20"/>
                <w:szCs w:val="20"/>
              </w:rPr>
            </w:pPr>
            <w:r w:rsidRPr="00BB4145">
              <w:rPr>
                <w:rFonts w:ascii="Arial Narrow" w:hAnsi="Arial Narrow"/>
                <w:b/>
                <w:sz w:val="20"/>
                <w:szCs w:val="20"/>
              </w:rPr>
              <w:t>66%</w:t>
            </w:r>
          </w:p>
        </w:tc>
      </w:tr>
      <w:tr w:rsidR="00D73FD9" w:rsidRPr="00BB4145" w14:paraId="306975E0" w14:textId="77777777" w:rsidTr="00BB4145">
        <w:trPr>
          <w:trHeight w:val="300"/>
        </w:trPr>
        <w:tc>
          <w:tcPr>
            <w:tcW w:w="465" w:type="pct"/>
            <w:tcBorders>
              <w:top w:val="nil"/>
              <w:left w:val="single" w:sz="8" w:space="0" w:color="auto"/>
              <w:bottom w:val="nil"/>
              <w:right w:val="single" w:sz="8" w:space="0" w:color="auto"/>
            </w:tcBorders>
            <w:shd w:val="clear" w:color="auto" w:fill="auto"/>
            <w:noWrap/>
            <w:vAlign w:val="bottom"/>
            <w:hideMark/>
          </w:tcPr>
          <w:p w14:paraId="17A402AF"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D</w:t>
            </w:r>
          </w:p>
        </w:tc>
        <w:tc>
          <w:tcPr>
            <w:tcW w:w="1851" w:type="pct"/>
            <w:tcBorders>
              <w:top w:val="nil"/>
              <w:left w:val="nil"/>
              <w:bottom w:val="nil"/>
              <w:right w:val="single" w:sz="8" w:space="0" w:color="auto"/>
            </w:tcBorders>
            <w:shd w:val="clear" w:color="auto" w:fill="auto"/>
            <w:noWrap/>
            <w:vAlign w:val="bottom"/>
            <w:hideMark/>
          </w:tcPr>
          <w:p w14:paraId="0A07BB36"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Contributions des bailleurs de fonds </w:t>
            </w:r>
          </w:p>
        </w:tc>
        <w:tc>
          <w:tcPr>
            <w:tcW w:w="688" w:type="pct"/>
            <w:tcBorders>
              <w:top w:val="nil"/>
              <w:left w:val="single" w:sz="8" w:space="0" w:color="auto"/>
              <w:bottom w:val="nil"/>
              <w:right w:val="single" w:sz="8" w:space="0" w:color="auto"/>
            </w:tcBorders>
            <w:shd w:val="clear" w:color="auto" w:fill="auto"/>
            <w:noWrap/>
            <w:vAlign w:val="bottom"/>
            <w:hideMark/>
          </w:tcPr>
          <w:p w14:paraId="65A5AC9B"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25881788 </w:t>
            </w:r>
          </w:p>
        </w:tc>
        <w:tc>
          <w:tcPr>
            <w:tcW w:w="549" w:type="pct"/>
            <w:tcBorders>
              <w:top w:val="nil"/>
              <w:left w:val="nil"/>
              <w:bottom w:val="nil"/>
              <w:right w:val="single" w:sz="8" w:space="0" w:color="auto"/>
            </w:tcBorders>
            <w:shd w:val="clear" w:color="auto" w:fill="auto"/>
            <w:noWrap/>
            <w:vAlign w:val="bottom"/>
            <w:hideMark/>
          </w:tcPr>
          <w:p w14:paraId="1FDB93AC"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w:t>
            </w:r>
            <w:r w:rsidRPr="00BB4145">
              <w:rPr>
                <w:rFonts w:ascii="Arial Narrow" w:hAnsi="Arial Narrow"/>
                <w:b/>
                <w:bCs/>
                <w:sz w:val="20"/>
                <w:szCs w:val="20"/>
              </w:rPr>
              <w:t>-</w:t>
            </w:r>
            <w:r w:rsidRPr="00BB4145">
              <w:rPr>
                <w:rFonts w:ascii="Arial Narrow" w:hAnsi="Arial Narrow"/>
                <w:b/>
                <w:sz w:val="20"/>
                <w:szCs w:val="20"/>
              </w:rPr>
              <w:t xml:space="preserve">   </w:t>
            </w:r>
          </w:p>
        </w:tc>
        <w:tc>
          <w:tcPr>
            <w:tcW w:w="724" w:type="pct"/>
            <w:tcBorders>
              <w:top w:val="nil"/>
              <w:left w:val="nil"/>
              <w:bottom w:val="dotted" w:sz="4" w:space="0" w:color="auto"/>
              <w:right w:val="single" w:sz="8" w:space="0" w:color="auto"/>
            </w:tcBorders>
            <w:shd w:val="clear" w:color="auto" w:fill="auto"/>
            <w:noWrap/>
            <w:vAlign w:val="bottom"/>
            <w:hideMark/>
          </w:tcPr>
          <w:p w14:paraId="45BCED66"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-25881788 </w:t>
            </w:r>
          </w:p>
        </w:tc>
        <w:tc>
          <w:tcPr>
            <w:tcW w:w="724" w:type="pct"/>
            <w:tcBorders>
              <w:top w:val="nil"/>
              <w:left w:val="nil"/>
              <w:bottom w:val="nil"/>
              <w:right w:val="single" w:sz="8" w:space="0" w:color="auto"/>
            </w:tcBorders>
            <w:shd w:val="clear" w:color="auto" w:fill="auto"/>
            <w:noWrap/>
            <w:vAlign w:val="bottom"/>
            <w:hideMark/>
          </w:tcPr>
          <w:p w14:paraId="7BEC3991" w14:textId="77777777" w:rsidR="00D73FD9" w:rsidRPr="00BB4145" w:rsidRDefault="00D73FD9" w:rsidP="00D73FD9">
            <w:pPr>
              <w:spacing w:after="0" w:line="240" w:lineRule="auto"/>
              <w:jc w:val="right"/>
              <w:rPr>
                <w:rFonts w:ascii="Arial Narrow" w:eastAsia="Times New Roman" w:hAnsi="Arial Narrow" w:cs="Calibri"/>
                <w:b/>
                <w:bCs/>
                <w:sz w:val="20"/>
                <w:szCs w:val="20"/>
              </w:rPr>
            </w:pPr>
            <w:r w:rsidRPr="00BB4145">
              <w:rPr>
                <w:rFonts w:ascii="Arial Narrow" w:hAnsi="Arial Narrow"/>
                <w:b/>
                <w:sz w:val="20"/>
                <w:szCs w:val="20"/>
              </w:rPr>
              <w:t>-100%</w:t>
            </w:r>
          </w:p>
        </w:tc>
      </w:tr>
      <w:tr w:rsidR="00D73FD9" w:rsidRPr="00BB4145" w14:paraId="45979404" w14:textId="77777777" w:rsidTr="00BB4145">
        <w:trPr>
          <w:trHeight w:val="300"/>
        </w:trPr>
        <w:tc>
          <w:tcPr>
            <w:tcW w:w="465"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58DBD223" w14:textId="77777777" w:rsidR="00D73FD9" w:rsidRPr="00BB4145" w:rsidRDefault="00D73FD9" w:rsidP="00D73FD9">
            <w:pPr>
              <w:spacing w:after="0" w:line="240" w:lineRule="auto"/>
              <w:jc w:val="center"/>
              <w:rPr>
                <w:rFonts w:ascii="Arial Narrow" w:eastAsia="Times New Roman" w:hAnsi="Arial Narrow" w:cs="Calibri"/>
                <w:b/>
                <w:bCs/>
                <w:sz w:val="20"/>
                <w:szCs w:val="20"/>
              </w:rPr>
            </w:pPr>
            <w:r w:rsidRPr="00BB4145">
              <w:rPr>
                <w:rFonts w:ascii="Arial Narrow" w:hAnsi="Arial Narrow"/>
                <w:b/>
                <w:sz w:val="20"/>
                <w:szCs w:val="20"/>
              </w:rPr>
              <w:t> </w:t>
            </w:r>
          </w:p>
        </w:tc>
        <w:tc>
          <w:tcPr>
            <w:tcW w:w="1851" w:type="pct"/>
            <w:tcBorders>
              <w:top w:val="single" w:sz="8" w:space="0" w:color="auto"/>
              <w:left w:val="nil"/>
              <w:bottom w:val="single" w:sz="8" w:space="0" w:color="auto"/>
              <w:right w:val="single" w:sz="8" w:space="0" w:color="auto"/>
            </w:tcBorders>
            <w:shd w:val="clear" w:color="000000" w:fill="BFBFBF"/>
            <w:noWrap/>
            <w:vAlign w:val="bottom"/>
            <w:hideMark/>
          </w:tcPr>
          <w:p w14:paraId="041978A9"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REVENU TOTAL </w:t>
            </w:r>
          </w:p>
        </w:tc>
        <w:tc>
          <w:tcPr>
            <w:tcW w:w="688"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6036AD1B"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51422942 </w:t>
            </w:r>
          </w:p>
        </w:tc>
        <w:tc>
          <w:tcPr>
            <w:tcW w:w="549" w:type="pct"/>
            <w:tcBorders>
              <w:top w:val="single" w:sz="8" w:space="0" w:color="auto"/>
              <w:left w:val="nil"/>
              <w:bottom w:val="single" w:sz="8" w:space="0" w:color="auto"/>
              <w:right w:val="single" w:sz="8" w:space="0" w:color="auto"/>
            </w:tcBorders>
            <w:shd w:val="clear" w:color="000000" w:fill="BFBFBF"/>
            <w:noWrap/>
            <w:vAlign w:val="bottom"/>
            <w:hideMark/>
          </w:tcPr>
          <w:p w14:paraId="2C9BCA1D"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28388050 </w:t>
            </w:r>
          </w:p>
        </w:tc>
        <w:tc>
          <w:tcPr>
            <w:tcW w:w="724" w:type="pct"/>
            <w:tcBorders>
              <w:top w:val="single" w:sz="8" w:space="0" w:color="auto"/>
              <w:left w:val="nil"/>
              <w:bottom w:val="single" w:sz="8" w:space="0" w:color="auto"/>
              <w:right w:val="single" w:sz="8" w:space="0" w:color="auto"/>
            </w:tcBorders>
            <w:shd w:val="clear" w:color="000000" w:fill="BFBFBF"/>
            <w:noWrap/>
            <w:vAlign w:val="bottom"/>
            <w:hideMark/>
          </w:tcPr>
          <w:p w14:paraId="6FA58430" w14:textId="77777777" w:rsidR="00D73FD9" w:rsidRPr="00BB4145" w:rsidRDefault="00D73FD9" w:rsidP="00D73FD9">
            <w:pPr>
              <w:spacing w:after="0" w:line="240" w:lineRule="auto"/>
              <w:rPr>
                <w:rFonts w:ascii="Arial Narrow" w:eastAsia="Times New Roman" w:hAnsi="Arial Narrow" w:cs="Calibri"/>
                <w:b/>
                <w:bCs/>
                <w:sz w:val="20"/>
                <w:szCs w:val="20"/>
              </w:rPr>
            </w:pPr>
            <w:r w:rsidRPr="00BB4145">
              <w:rPr>
                <w:rFonts w:ascii="Arial Narrow" w:hAnsi="Arial Narrow"/>
                <w:b/>
                <w:sz w:val="20"/>
                <w:szCs w:val="20"/>
              </w:rPr>
              <w:t xml:space="preserve">-   23.034.892 </w:t>
            </w:r>
          </w:p>
        </w:tc>
        <w:tc>
          <w:tcPr>
            <w:tcW w:w="724" w:type="pct"/>
            <w:tcBorders>
              <w:top w:val="single" w:sz="8" w:space="0" w:color="auto"/>
              <w:left w:val="nil"/>
              <w:bottom w:val="single" w:sz="8" w:space="0" w:color="auto"/>
              <w:right w:val="single" w:sz="8" w:space="0" w:color="auto"/>
            </w:tcBorders>
            <w:shd w:val="clear" w:color="000000" w:fill="BFBFBF"/>
            <w:noWrap/>
            <w:vAlign w:val="bottom"/>
            <w:hideMark/>
          </w:tcPr>
          <w:p w14:paraId="3BCD147B" w14:textId="77777777" w:rsidR="00D73FD9" w:rsidRPr="00BB4145" w:rsidRDefault="00D73FD9" w:rsidP="00D73FD9">
            <w:pPr>
              <w:spacing w:after="0" w:line="240" w:lineRule="auto"/>
              <w:jc w:val="right"/>
              <w:rPr>
                <w:rFonts w:ascii="Arial Narrow" w:eastAsia="Times New Roman" w:hAnsi="Arial Narrow" w:cs="Calibri"/>
                <w:b/>
                <w:bCs/>
                <w:sz w:val="20"/>
                <w:szCs w:val="20"/>
              </w:rPr>
            </w:pPr>
            <w:r w:rsidRPr="00BB4145">
              <w:rPr>
                <w:rFonts w:ascii="Arial Narrow" w:hAnsi="Arial Narrow"/>
                <w:b/>
                <w:sz w:val="20"/>
                <w:szCs w:val="20"/>
              </w:rPr>
              <w:t>-45%</w:t>
            </w:r>
          </w:p>
        </w:tc>
      </w:tr>
    </w:tbl>
    <w:p w14:paraId="3B434933" w14:textId="5400BCDF" w:rsidR="00E60B52" w:rsidRDefault="00E60B52" w:rsidP="002003BF">
      <w:pPr>
        <w:spacing w:after="0" w:line="240" w:lineRule="auto"/>
        <w:ind w:left="709" w:hanging="709"/>
        <w:jc w:val="both"/>
        <w:rPr>
          <w:rFonts w:ascii="Bookman Old Style" w:hAnsi="Bookman Old Style"/>
          <w:sz w:val="24"/>
          <w:szCs w:val="24"/>
        </w:rPr>
      </w:pPr>
    </w:p>
    <w:p w14:paraId="547D662B" w14:textId="69C565D2" w:rsidR="008D6F5A" w:rsidRDefault="008D6F5A" w:rsidP="002003BF">
      <w:pPr>
        <w:spacing w:after="0" w:line="240" w:lineRule="auto"/>
        <w:ind w:left="709" w:hanging="709"/>
        <w:jc w:val="both"/>
        <w:rPr>
          <w:rFonts w:ascii="Bookman Old Style" w:hAnsi="Bookman Old Style"/>
          <w:sz w:val="24"/>
          <w:szCs w:val="24"/>
        </w:rPr>
      </w:pPr>
    </w:p>
    <w:p w14:paraId="54E02033" w14:textId="3540287C" w:rsidR="008D6F5A" w:rsidRDefault="008D6F5A" w:rsidP="002003BF">
      <w:pPr>
        <w:spacing w:after="0" w:line="240" w:lineRule="auto"/>
        <w:ind w:left="709" w:hanging="709"/>
        <w:jc w:val="both"/>
        <w:rPr>
          <w:rFonts w:ascii="Bookman Old Style" w:hAnsi="Bookman Old Style"/>
          <w:sz w:val="24"/>
          <w:szCs w:val="24"/>
        </w:rPr>
      </w:pPr>
    </w:p>
    <w:p w14:paraId="795DDC5C" w14:textId="20DBA1EC" w:rsidR="008D6F5A" w:rsidRDefault="008D6F5A" w:rsidP="002003BF">
      <w:pPr>
        <w:spacing w:after="0" w:line="240" w:lineRule="auto"/>
        <w:ind w:left="709" w:hanging="709"/>
        <w:jc w:val="both"/>
        <w:rPr>
          <w:rFonts w:ascii="Bookman Old Style" w:hAnsi="Bookman Old Style"/>
          <w:sz w:val="24"/>
          <w:szCs w:val="24"/>
        </w:rPr>
      </w:pPr>
    </w:p>
    <w:p w14:paraId="24DF8ED0" w14:textId="2F767E41" w:rsidR="008D6F5A" w:rsidRDefault="008D6F5A" w:rsidP="002003BF">
      <w:pPr>
        <w:spacing w:after="0" w:line="240" w:lineRule="auto"/>
        <w:ind w:left="709" w:hanging="709"/>
        <w:jc w:val="both"/>
        <w:rPr>
          <w:rFonts w:ascii="Bookman Old Style" w:hAnsi="Bookman Old Style"/>
          <w:sz w:val="24"/>
          <w:szCs w:val="24"/>
        </w:rPr>
      </w:pPr>
    </w:p>
    <w:p w14:paraId="6FD66265" w14:textId="0E89B448" w:rsidR="008D6F5A" w:rsidRDefault="008D6F5A" w:rsidP="002003BF">
      <w:pPr>
        <w:spacing w:after="0" w:line="240" w:lineRule="auto"/>
        <w:ind w:left="709" w:hanging="709"/>
        <w:jc w:val="both"/>
        <w:rPr>
          <w:rFonts w:ascii="Bookman Old Style" w:hAnsi="Bookman Old Style"/>
          <w:sz w:val="24"/>
          <w:szCs w:val="24"/>
        </w:rPr>
      </w:pPr>
    </w:p>
    <w:p w14:paraId="53D5DDBC" w14:textId="4EA85C3F" w:rsidR="008D6F5A" w:rsidRDefault="008D6F5A" w:rsidP="002003BF">
      <w:pPr>
        <w:spacing w:after="0" w:line="240" w:lineRule="auto"/>
        <w:ind w:left="709" w:hanging="709"/>
        <w:jc w:val="both"/>
        <w:rPr>
          <w:rFonts w:ascii="Bookman Old Style" w:hAnsi="Bookman Old Style"/>
          <w:sz w:val="24"/>
          <w:szCs w:val="24"/>
        </w:rPr>
      </w:pPr>
    </w:p>
    <w:p w14:paraId="2BE7CCC2" w14:textId="76A6E938" w:rsidR="008D6F5A" w:rsidRDefault="008D6F5A" w:rsidP="002003BF">
      <w:pPr>
        <w:spacing w:after="0" w:line="240" w:lineRule="auto"/>
        <w:ind w:left="709" w:hanging="709"/>
        <w:jc w:val="both"/>
        <w:rPr>
          <w:rFonts w:ascii="Bookman Old Style" w:hAnsi="Bookman Old Style"/>
          <w:sz w:val="24"/>
          <w:szCs w:val="24"/>
        </w:rPr>
      </w:pPr>
    </w:p>
    <w:p w14:paraId="7C4DF2C4" w14:textId="556738EC" w:rsidR="008D6F5A" w:rsidRDefault="008D6F5A" w:rsidP="002003BF">
      <w:pPr>
        <w:spacing w:after="0" w:line="240" w:lineRule="auto"/>
        <w:ind w:left="709" w:hanging="709"/>
        <w:jc w:val="both"/>
        <w:rPr>
          <w:rFonts w:ascii="Bookman Old Style" w:hAnsi="Bookman Old Style"/>
          <w:sz w:val="24"/>
          <w:szCs w:val="24"/>
        </w:rPr>
      </w:pPr>
    </w:p>
    <w:p w14:paraId="73FF88FA" w14:textId="77777777" w:rsidR="008D6F5A" w:rsidRDefault="008D6F5A" w:rsidP="002003BF">
      <w:pPr>
        <w:spacing w:after="0" w:line="240" w:lineRule="auto"/>
        <w:ind w:left="709" w:hanging="709"/>
        <w:jc w:val="both"/>
        <w:rPr>
          <w:rFonts w:ascii="Bookman Old Style" w:hAnsi="Bookman Old Style"/>
          <w:sz w:val="24"/>
          <w:szCs w:val="24"/>
        </w:rPr>
      </w:pPr>
    </w:p>
    <w:p w14:paraId="5EAF79E7" w14:textId="0A113AA3" w:rsidR="00186171" w:rsidRPr="00E111F6" w:rsidRDefault="00186171" w:rsidP="00E111F6">
      <w:pPr>
        <w:pStyle w:val="ListParagraph"/>
        <w:numPr>
          <w:ilvl w:val="0"/>
          <w:numId w:val="32"/>
        </w:numPr>
        <w:spacing w:after="0" w:line="240" w:lineRule="auto"/>
        <w:jc w:val="both"/>
        <w:rPr>
          <w:rFonts w:ascii="Bookman Old Style" w:hAnsi="Bookman Old Style"/>
          <w:b/>
          <w:sz w:val="24"/>
          <w:szCs w:val="24"/>
        </w:rPr>
      </w:pPr>
      <w:r>
        <w:rPr>
          <w:rFonts w:ascii="Bookman Old Style" w:hAnsi="Bookman Old Style"/>
          <w:b/>
          <w:sz w:val="24"/>
        </w:rPr>
        <w:lastRenderedPageBreak/>
        <w:t xml:space="preserve">NOTES AU BUDGET : DÉPENSES PRÉVUES AU BUDGET </w:t>
      </w:r>
    </w:p>
    <w:p w14:paraId="27C4CE25" w14:textId="64D0EEB5" w:rsidR="006B0E7D" w:rsidRDefault="006B0E7D" w:rsidP="002003BF">
      <w:pPr>
        <w:pStyle w:val="ListParagraph"/>
        <w:spacing w:after="0" w:line="240" w:lineRule="auto"/>
        <w:ind w:left="709" w:hanging="709"/>
        <w:jc w:val="both"/>
        <w:rPr>
          <w:rFonts w:ascii="Bookman Old Style" w:hAnsi="Bookman Old Style"/>
          <w:b/>
          <w:sz w:val="24"/>
          <w:szCs w:val="24"/>
        </w:rPr>
      </w:pPr>
    </w:p>
    <w:p w14:paraId="3E628FAA" w14:textId="28A198BC" w:rsidR="005D7317" w:rsidRDefault="00E111F6" w:rsidP="002003BF">
      <w:pPr>
        <w:pStyle w:val="ListParagraph"/>
        <w:spacing w:after="0" w:line="240" w:lineRule="auto"/>
        <w:ind w:left="709" w:hanging="709"/>
        <w:jc w:val="both"/>
        <w:rPr>
          <w:rFonts w:ascii="Bookman Old Style" w:hAnsi="Bookman Old Style"/>
          <w:b/>
          <w:sz w:val="24"/>
          <w:szCs w:val="24"/>
        </w:rPr>
      </w:pPr>
      <w:r>
        <w:rPr>
          <w:rFonts w:ascii="Bookman Old Style" w:hAnsi="Bookman Old Style"/>
          <w:b/>
          <w:sz w:val="24"/>
        </w:rPr>
        <w:t>5.1.</w:t>
      </w:r>
      <w:r>
        <w:rPr>
          <w:rFonts w:ascii="Bookman Old Style" w:hAnsi="Bookman Old Style"/>
          <w:b/>
          <w:sz w:val="24"/>
        </w:rPr>
        <w:tab/>
        <w:t>Les dépenses prévues au budget sont présentées dans le tableau ci-dessous :</w:t>
      </w:r>
    </w:p>
    <w:p w14:paraId="7654DA92" w14:textId="3052024F" w:rsidR="00A8079A" w:rsidRDefault="00A8079A" w:rsidP="002003BF">
      <w:pPr>
        <w:pStyle w:val="ListParagraph"/>
        <w:spacing w:after="0" w:line="240" w:lineRule="auto"/>
        <w:ind w:left="709" w:hanging="709"/>
        <w:jc w:val="both"/>
        <w:rPr>
          <w:rFonts w:ascii="Bookman Old Style" w:hAnsi="Bookman Old Style"/>
          <w:b/>
          <w:sz w:val="24"/>
          <w:szCs w:val="24"/>
        </w:rPr>
      </w:pPr>
    </w:p>
    <w:tbl>
      <w:tblPr>
        <w:tblW w:w="10080" w:type="dxa"/>
        <w:tblLook w:val="04A0" w:firstRow="1" w:lastRow="0" w:firstColumn="1" w:lastColumn="0" w:noHBand="0" w:noVBand="1"/>
      </w:tblPr>
      <w:tblGrid>
        <w:gridCol w:w="1000"/>
        <w:gridCol w:w="3608"/>
        <w:gridCol w:w="1341"/>
        <w:gridCol w:w="1069"/>
        <w:gridCol w:w="1556"/>
        <w:gridCol w:w="1556"/>
      </w:tblGrid>
      <w:tr w:rsidR="00340598" w:rsidRPr="00340598" w14:paraId="53A71CD5" w14:textId="77777777" w:rsidTr="00985388">
        <w:trPr>
          <w:trHeight w:val="274"/>
        </w:trPr>
        <w:tc>
          <w:tcPr>
            <w:tcW w:w="988" w:type="dxa"/>
            <w:tcBorders>
              <w:top w:val="single" w:sz="8" w:space="0" w:color="auto"/>
              <w:left w:val="single" w:sz="8" w:space="0" w:color="auto"/>
              <w:bottom w:val="nil"/>
              <w:right w:val="nil"/>
            </w:tcBorders>
            <w:shd w:val="clear" w:color="auto" w:fill="auto"/>
            <w:noWrap/>
            <w:vAlign w:val="bottom"/>
            <w:hideMark/>
          </w:tcPr>
          <w:p w14:paraId="3B6083EA"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ÉLÉMENT </w:t>
            </w:r>
          </w:p>
        </w:tc>
        <w:tc>
          <w:tcPr>
            <w:tcW w:w="3608" w:type="dxa"/>
            <w:tcBorders>
              <w:top w:val="single" w:sz="8" w:space="0" w:color="auto"/>
              <w:left w:val="single" w:sz="8" w:space="0" w:color="auto"/>
              <w:bottom w:val="nil"/>
              <w:right w:val="single" w:sz="8" w:space="0" w:color="auto"/>
            </w:tcBorders>
            <w:shd w:val="clear" w:color="auto" w:fill="auto"/>
            <w:noWrap/>
            <w:vAlign w:val="bottom"/>
            <w:hideMark/>
          </w:tcPr>
          <w:p w14:paraId="00B17543"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DÉPENSES/REVENUS </w:t>
            </w:r>
          </w:p>
        </w:tc>
        <w:tc>
          <w:tcPr>
            <w:tcW w:w="1341" w:type="dxa"/>
            <w:tcBorders>
              <w:top w:val="single" w:sz="8" w:space="0" w:color="auto"/>
              <w:left w:val="single" w:sz="8" w:space="0" w:color="auto"/>
              <w:bottom w:val="nil"/>
              <w:right w:val="single" w:sz="8" w:space="0" w:color="auto"/>
            </w:tcBorders>
            <w:shd w:val="clear" w:color="auto" w:fill="auto"/>
            <w:noWrap/>
            <w:vAlign w:val="bottom"/>
            <w:hideMark/>
          </w:tcPr>
          <w:p w14:paraId="32EC493B"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COURANT </w:t>
            </w:r>
          </w:p>
        </w:tc>
        <w:tc>
          <w:tcPr>
            <w:tcW w:w="1069" w:type="dxa"/>
            <w:tcBorders>
              <w:top w:val="single" w:sz="8" w:space="0" w:color="auto"/>
              <w:left w:val="nil"/>
              <w:bottom w:val="nil"/>
              <w:right w:val="single" w:sz="8" w:space="0" w:color="auto"/>
            </w:tcBorders>
            <w:shd w:val="clear" w:color="auto" w:fill="auto"/>
            <w:noWrap/>
            <w:vAlign w:val="bottom"/>
            <w:hideMark/>
          </w:tcPr>
          <w:p w14:paraId="2DC237A0"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PROPOSÉ </w:t>
            </w:r>
          </w:p>
        </w:tc>
        <w:tc>
          <w:tcPr>
            <w:tcW w:w="1537" w:type="dxa"/>
            <w:tcBorders>
              <w:top w:val="single" w:sz="8" w:space="0" w:color="auto"/>
              <w:left w:val="nil"/>
              <w:bottom w:val="nil"/>
              <w:right w:val="single" w:sz="8" w:space="0" w:color="auto"/>
            </w:tcBorders>
            <w:shd w:val="clear" w:color="auto" w:fill="auto"/>
            <w:noWrap/>
            <w:vAlign w:val="bottom"/>
            <w:hideMark/>
          </w:tcPr>
          <w:p w14:paraId="0EDCB647"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AUGMENTATION </w:t>
            </w:r>
          </w:p>
        </w:tc>
        <w:tc>
          <w:tcPr>
            <w:tcW w:w="1537" w:type="dxa"/>
            <w:tcBorders>
              <w:top w:val="single" w:sz="8" w:space="0" w:color="auto"/>
              <w:left w:val="nil"/>
              <w:bottom w:val="nil"/>
              <w:right w:val="single" w:sz="8" w:space="0" w:color="auto"/>
            </w:tcBorders>
            <w:shd w:val="clear" w:color="auto" w:fill="auto"/>
            <w:noWrap/>
            <w:vAlign w:val="bottom"/>
            <w:hideMark/>
          </w:tcPr>
          <w:p w14:paraId="44498604"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AUGMENTATION </w:t>
            </w:r>
          </w:p>
        </w:tc>
      </w:tr>
      <w:tr w:rsidR="00340598" w:rsidRPr="00340598" w14:paraId="02BCFC8F" w14:textId="77777777" w:rsidTr="00985388">
        <w:trPr>
          <w:trHeight w:val="274"/>
        </w:trPr>
        <w:tc>
          <w:tcPr>
            <w:tcW w:w="988" w:type="dxa"/>
            <w:tcBorders>
              <w:top w:val="nil"/>
              <w:left w:val="single" w:sz="8" w:space="0" w:color="auto"/>
              <w:bottom w:val="nil"/>
              <w:right w:val="nil"/>
            </w:tcBorders>
            <w:shd w:val="clear" w:color="auto" w:fill="auto"/>
            <w:noWrap/>
            <w:vAlign w:val="bottom"/>
            <w:hideMark/>
          </w:tcPr>
          <w:p w14:paraId="4D0A0393"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NO. </w:t>
            </w:r>
          </w:p>
        </w:tc>
        <w:tc>
          <w:tcPr>
            <w:tcW w:w="3608" w:type="dxa"/>
            <w:tcBorders>
              <w:top w:val="nil"/>
              <w:left w:val="single" w:sz="8" w:space="0" w:color="auto"/>
              <w:bottom w:val="nil"/>
              <w:right w:val="single" w:sz="8" w:space="0" w:color="auto"/>
            </w:tcBorders>
            <w:shd w:val="clear" w:color="auto" w:fill="auto"/>
            <w:noWrap/>
            <w:vAlign w:val="bottom"/>
            <w:hideMark/>
          </w:tcPr>
          <w:p w14:paraId="14380355"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CATÉGORIE </w:t>
            </w:r>
          </w:p>
        </w:tc>
        <w:tc>
          <w:tcPr>
            <w:tcW w:w="1341" w:type="dxa"/>
            <w:tcBorders>
              <w:top w:val="nil"/>
              <w:left w:val="single" w:sz="8" w:space="0" w:color="auto"/>
              <w:bottom w:val="nil"/>
              <w:right w:val="single" w:sz="8" w:space="0" w:color="auto"/>
            </w:tcBorders>
            <w:shd w:val="clear" w:color="auto" w:fill="auto"/>
            <w:noWrap/>
            <w:vAlign w:val="bottom"/>
            <w:hideMark/>
          </w:tcPr>
          <w:p w14:paraId="43E4A10E"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APPROUVÉ</w:t>
            </w:r>
          </w:p>
        </w:tc>
        <w:tc>
          <w:tcPr>
            <w:tcW w:w="1069" w:type="dxa"/>
            <w:tcBorders>
              <w:top w:val="nil"/>
              <w:left w:val="nil"/>
              <w:bottom w:val="nil"/>
              <w:right w:val="single" w:sz="8" w:space="0" w:color="auto"/>
            </w:tcBorders>
            <w:shd w:val="clear" w:color="auto" w:fill="auto"/>
            <w:noWrap/>
            <w:vAlign w:val="bottom"/>
            <w:hideMark/>
          </w:tcPr>
          <w:p w14:paraId="3503735F"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BUDGET</w:t>
            </w:r>
          </w:p>
        </w:tc>
        <w:tc>
          <w:tcPr>
            <w:tcW w:w="1537" w:type="dxa"/>
            <w:tcBorders>
              <w:top w:val="nil"/>
              <w:left w:val="nil"/>
              <w:bottom w:val="nil"/>
              <w:right w:val="single" w:sz="8" w:space="0" w:color="auto"/>
            </w:tcBorders>
            <w:shd w:val="clear" w:color="auto" w:fill="auto"/>
            <w:noWrap/>
            <w:vAlign w:val="bottom"/>
            <w:hideMark/>
          </w:tcPr>
          <w:p w14:paraId="606DE2D2"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(BAISSE)</w:t>
            </w:r>
          </w:p>
        </w:tc>
        <w:tc>
          <w:tcPr>
            <w:tcW w:w="1537" w:type="dxa"/>
            <w:tcBorders>
              <w:top w:val="nil"/>
              <w:left w:val="nil"/>
              <w:bottom w:val="nil"/>
              <w:right w:val="single" w:sz="8" w:space="0" w:color="auto"/>
            </w:tcBorders>
            <w:shd w:val="clear" w:color="auto" w:fill="auto"/>
            <w:noWrap/>
            <w:vAlign w:val="bottom"/>
            <w:hideMark/>
          </w:tcPr>
          <w:p w14:paraId="72A36DEC"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(BAISSE)</w:t>
            </w:r>
          </w:p>
        </w:tc>
      </w:tr>
      <w:tr w:rsidR="00340598" w:rsidRPr="00340598" w14:paraId="3247EEFE" w14:textId="77777777" w:rsidTr="00985388">
        <w:trPr>
          <w:trHeight w:val="274"/>
        </w:trPr>
        <w:tc>
          <w:tcPr>
            <w:tcW w:w="988" w:type="dxa"/>
            <w:tcBorders>
              <w:top w:val="nil"/>
              <w:left w:val="single" w:sz="8" w:space="0" w:color="auto"/>
              <w:bottom w:val="nil"/>
              <w:right w:val="nil"/>
            </w:tcBorders>
            <w:shd w:val="clear" w:color="auto" w:fill="auto"/>
            <w:noWrap/>
            <w:vAlign w:val="bottom"/>
            <w:hideMark/>
          </w:tcPr>
          <w:p w14:paraId="2731BD50"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nil"/>
              <w:left w:val="single" w:sz="8" w:space="0" w:color="auto"/>
              <w:bottom w:val="nil"/>
              <w:right w:val="single" w:sz="8" w:space="0" w:color="auto"/>
            </w:tcBorders>
            <w:shd w:val="clear" w:color="auto" w:fill="auto"/>
            <w:noWrap/>
            <w:vAlign w:val="bottom"/>
            <w:hideMark/>
          </w:tcPr>
          <w:p w14:paraId="3A3864DB"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341" w:type="dxa"/>
            <w:tcBorders>
              <w:top w:val="nil"/>
              <w:left w:val="single" w:sz="8" w:space="0" w:color="auto"/>
              <w:bottom w:val="nil"/>
              <w:right w:val="single" w:sz="8" w:space="0" w:color="auto"/>
            </w:tcBorders>
            <w:shd w:val="clear" w:color="auto" w:fill="auto"/>
            <w:noWrap/>
            <w:vAlign w:val="bottom"/>
            <w:hideMark/>
          </w:tcPr>
          <w:p w14:paraId="2081F84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BUDGET</w:t>
            </w:r>
          </w:p>
        </w:tc>
        <w:tc>
          <w:tcPr>
            <w:tcW w:w="1069" w:type="dxa"/>
            <w:tcBorders>
              <w:top w:val="nil"/>
              <w:left w:val="nil"/>
              <w:bottom w:val="nil"/>
              <w:right w:val="single" w:sz="8" w:space="0" w:color="auto"/>
            </w:tcBorders>
            <w:shd w:val="clear" w:color="auto" w:fill="auto"/>
            <w:noWrap/>
            <w:vAlign w:val="bottom"/>
            <w:hideMark/>
          </w:tcPr>
          <w:p w14:paraId="351EAA03"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537" w:type="dxa"/>
            <w:tcBorders>
              <w:top w:val="nil"/>
              <w:left w:val="nil"/>
              <w:bottom w:val="nil"/>
              <w:right w:val="single" w:sz="8" w:space="0" w:color="auto"/>
            </w:tcBorders>
            <w:shd w:val="clear" w:color="auto" w:fill="auto"/>
            <w:noWrap/>
            <w:vAlign w:val="bottom"/>
            <w:hideMark/>
          </w:tcPr>
          <w:p w14:paraId="746D165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537" w:type="dxa"/>
            <w:tcBorders>
              <w:top w:val="nil"/>
              <w:left w:val="nil"/>
              <w:bottom w:val="nil"/>
              <w:right w:val="single" w:sz="8" w:space="0" w:color="auto"/>
            </w:tcBorders>
            <w:shd w:val="clear" w:color="auto" w:fill="auto"/>
            <w:noWrap/>
            <w:vAlign w:val="bottom"/>
            <w:hideMark/>
          </w:tcPr>
          <w:p w14:paraId="17FF2555"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340598" w:rsidRPr="00340598" w14:paraId="4605AEF3" w14:textId="77777777" w:rsidTr="00985388">
        <w:trPr>
          <w:trHeight w:val="274"/>
        </w:trPr>
        <w:tc>
          <w:tcPr>
            <w:tcW w:w="988" w:type="dxa"/>
            <w:tcBorders>
              <w:top w:val="nil"/>
              <w:left w:val="single" w:sz="8" w:space="0" w:color="auto"/>
              <w:bottom w:val="nil"/>
              <w:right w:val="nil"/>
            </w:tcBorders>
            <w:shd w:val="clear" w:color="auto" w:fill="auto"/>
            <w:noWrap/>
            <w:vAlign w:val="bottom"/>
            <w:hideMark/>
          </w:tcPr>
          <w:p w14:paraId="0CA85A32"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nil"/>
              <w:left w:val="single" w:sz="8" w:space="0" w:color="auto"/>
              <w:bottom w:val="nil"/>
              <w:right w:val="single" w:sz="8" w:space="0" w:color="auto"/>
            </w:tcBorders>
            <w:shd w:val="clear" w:color="auto" w:fill="auto"/>
            <w:noWrap/>
            <w:vAlign w:val="bottom"/>
            <w:hideMark/>
          </w:tcPr>
          <w:p w14:paraId="3198F46D"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341" w:type="dxa"/>
            <w:tcBorders>
              <w:top w:val="nil"/>
              <w:left w:val="single" w:sz="8" w:space="0" w:color="auto"/>
              <w:bottom w:val="nil"/>
              <w:right w:val="single" w:sz="8" w:space="0" w:color="auto"/>
            </w:tcBorders>
            <w:shd w:val="clear" w:color="auto" w:fill="auto"/>
            <w:noWrap/>
            <w:vAlign w:val="bottom"/>
            <w:hideMark/>
          </w:tcPr>
          <w:p w14:paraId="53E5BF4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2022-2023</w:t>
            </w:r>
          </w:p>
        </w:tc>
        <w:tc>
          <w:tcPr>
            <w:tcW w:w="1069" w:type="dxa"/>
            <w:tcBorders>
              <w:top w:val="nil"/>
              <w:left w:val="nil"/>
              <w:bottom w:val="nil"/>
              <w:right w:val="single" w:sz="8" w:space="0" w:color="auto"/>
            </w:tcBorders>
            <w:shd w:val="clear" w:color="auto" w:fill="auto"/>
            <w:noWrap/>
            <w:vAlign w:val="bottom"/>
            <w:hideMark/>
          </w:tcPr>
          <w:p w14:paraId="2FE80426"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2023-2024</w:t>
            </w:r>
          </w:p>
        </w:tc>
        <w:tc>
          <w:tcPr>
            <w:tcW w:w="1537" w:type="dxa"/>
            <w:tcBorders>
              <w:top w:val="nil"/>
              <w:left w:val="nil"/>
              <w:bottom w:val="nil"/>
              <w:right w:val="single" w:sz="8" w:space="0" w:color="auto"/>
            </w:tcBorders>
            <w:shd w:val="clear" w:color="auto" w:fill="auto"/>
            <w:noWrap/>
            <w:vAlign w:val="bottom"/>
            <w:hideMark/>
          </w:tcPr>
          <w:p w14:paraId="72F3FB3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537" w:type="dxa"/>
            <w:tcBorders>
              <w:top w:val="nil"/>
              <w:left w:val="nil"/>
              <w:bottom w:val="nil"/>
              <w:right w:val="single" w:sz="8" w:space="0" w:color="auto"/>
            </w:tcBorders>
            <w:shd w:val="clear" w:color="auto" w:fill="auto"/>
            <w:noWrap/>
            <w:vAlign w:val="bottom"/>
            <w:hideMark/>
          </w:tcPr>
          <w:p w14:paraId="14F9963F"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340598" w:rsidRPr="00340598" w14:paraId="19911702" w14:textId="77777777" w:rsidTr="00985388">
        <w:trPr>
          <w:trHeight w:val="274"/>
        </w:trPr>
        <w:tc>
          <w:tcPr>
            <w:tcW w:w="988" w:type="dxa"/>
            <w:tcBorders>
              <w:top w:val="nil"/>
              <w:left w:val="single" w:sz="8" w:space="0" w:color="auto"/>
              <w:bottom w:val="single" w:sz="8" w:space="0" w:color="auto"/>
              <w:right w:val="nil"/>
            </w:tcBorders>
            <w:shd w:val="clear" w:color="auto" w:fill="auto"/>
            <w:noWrap/>
            <w:vAlign w:val="bottom"/>
            <w:hideMark/>
          </w:tcPr>
          <w:p w14:paraId="631585BA"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nil"/>
              <w:left w:val="single" w:sz="8" w:space="0" w:color="auto"/>
              <w:bottom w:val="single" w:sz="8" w:space="0" w:color="auto"/>
              <w:right w:val="single" w:sz="8" w:space="0" w:color="auto"/>
            </w:tcBorders>
            <w:shd w:val="clear" w:color="auto" w:fill="auto"/>
            <w:noWrap/>
            <w:vAlign w:val="bottom"/>
            <w:hideMark/>
          </w:tcPr>
          <w:p w14:paraId="4BB82E86"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341" w:type="dxa"/>
            <w:tcBorders>
              <w:top w:val="nil"/>
              <w:left w:val="single" w:sz="8" w:space="0" w:color="auto"/>
              <w:bottom w:val="single" w:sz="8" w:space="0" w:color="auto"/>
              <w:right w:val="single" w:sz="8" w:space="0" w:color="auto"/>
            </w:tcBorders>
            <w:shd w:val="clear" w:color="auto" w:fill="auto"/>
            <w:noWrap/>
            <w:vAlign w:val="bottom"/>
            <w:hideMark/>
          </w:tcPr>
          <w:p w14:paraId="73DDB17A"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069" w:type="dxa"/>
            <w:tcBorders>
              <w:top w:val="nil"/>
              <w:left w:val="nil"/>
              <w:bottom w:val="single" w:sz="8" w:space="0" w:color="auto"/>
              <w:right w:val="single" w:sz="8" w:space="0" w:color="auto"/>
            </w:tcBorders>
            <w:shd w:val="clear" w:color="auto" w:fill="auto"/>
            <w:noWrap/>
            <w:vAlign w:val="bottom"/>
            <w:hideMark/>
          </w:tcPr>
          <w:p w14:paraId="1AEE9D9E"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537" w:type="dxa"/>
            <w:tcBorders>
              <w:top w:val="nil"/>
              <w:left w:val="nil"/>
              <w:bottom w:val="single" w:sz="8" w:space="0" w:color="auto"/>
              <w:right w:val="single" w:sz="8" w:space="0" w:color="auto"/>
            </w:tcBorders>
            <w:shd w:val="clear" w:color="auto" w:fill="auto"/>
            <w:noWrap/>
            <w:vAlign w:val="bottom"/>
            <w:hideMark/>
          </w:tcPr>
          <w:p w14:paraId="4F217975"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537" w:type="dxa"/>
            <w:tcBorders>
              <w:top w:val="nil"/>
              <w:left w:val="nil"/>
              <w:bottom w:val="single" w:sz="8" w:space="0" w:color="auto"/>
              <w:right w:val="single" w:sz="8" w:space="0" w:color="auto"/>
            </w:tcBorders>
            <w:shd w:val="clear" w:color="auto" w:fill="auto"/>
            <w:noWrap/>
            <w:vAlign w:val="bottom"/>
            <w:hideMark/>
          </w:tcPr>
          <w:p w14:paraId="523D6D25"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 </w:t>
            </w:r>
          </w:p>
        </w:tc>
      </w:tr>
      <w:tr w:rsidR="00340598" w:rsidRPr="00340598" w14:paraId="2623014F" w14:textId="77777777" w:rsidTr="00985388">
        <w:trPr>
          <w:trHeight w:val="274"/>
        </w:trPr>
        <w:tc>
          <w:tcPr>
            <w:tcW w:w="988" w:type="dxa"/>
            <w:tcBorders>
              <w:top w:val="single" w:sz="4" w:space="0" w:color="FF0000"/>
              <w:left w:val="single" w:sz="8" w:space="0" w:color="auto"/>
              <w:bottom w:val="single" w:sz="4" w:space="0" w:color="FF0000"/>
              <w:right w:val="nil"/>
            </w:tcBorders>
            <w:shd w:val="clear" w:color="auto" w:fill="auto"/>
            <w:noWrap/>
            <w:vAlign w:val="bottom"/>
            <w:hideMark/>
          </w:tcPr>
          <w:p w14:paraId="6E2C7726"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3AE3DB53"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FRAIS ADMINISTRATIFS GÉNÉRAUX </w:t>
            </w:r>
          </w:p>
        </w:tc>
        <w:tc>
          <w:tcPr>
            <w:tcW w:w="1341" w:type="dxa"/>
            <w:tcBorders>
              <w:top w:val="single" w:sz="4" w:space="0" w:color="FF0000"/>
              <w:left w:val="nil"/>
              <w:bottom w:val="single" w:sz="4" w:space="0" w:color="FF0000"/>
              <w:right w:val="single" w:sz="8" w:space="0" w:color="auto"/>
            </w:tcBorders>
            <w:shd w:val="clear" w:color="auto" w:fill="auto"/>
            <w:noWrap/>
            <w:vAlign w:val="bottom"/>
            <w:hideMark/>
          </w:tcPr>
          <w:p w14:paraId="5261D5FE" w14:textId="77777777" w:rsidR="00340598" w:rsidRPr="00340598"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2705558 </w:t>
            </w:r>
          </w:p>
        </w:tc>
        <w:tc>
          <w:tcPr>
            <w:tcW w:w="1069" w:type="dxa"/>
            <w:tcBorders>
              <w:top w:val="single" w:sz="4" w:space="0" w:color="FF0000"/>
              <w:left w:val="nil"/>
              <w:bottom w:val="single" w:sz="4" w:space="0" w:color="FF0000"/>
              <w:right w:val="single" w:sz="8" w:space="0" w:color="auto"/>
            </w:tcBorders>
            <w:shd w:val="clear" w:color="auto" w:fill="auto"/>
            <w:noWrap/>
            <w:vAlign w:val="bottom"/>
            <w:hideMark/>
          </w:tcPr>
          <w:p w14:paraId="0E5B5F1F" w14:textId="77777777" w:rsidR="00340598" w:rsidRPr="00340598"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3897615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625CE6AD" w14:textId="77777777" w:rsidR="00340598" w:rsidRPr="00340598"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1192057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210A6074" w14:textId="77777777" w:rsidR="00340598" w:rsidRPr="00340598"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44%</w:t>
            </w:r>
          </w:p>
        </w:tc>
      </w:tr>
      <w:tr w:rsidR="00340598" w:rsidRPr="00B61E56" w14:paraId="1F277560" w14:textId="77777777" w:rsidTr="00985388">
        <w:trPr>
          <w:trHeight w:val="274"/>
        </w:trPr>
        <w:tc>
          <w:tcPr>
            <w:tcW w:w="988" w:type="dxa"/>
            <w:tcBorders>
              <w:top w:val="single" w:sz="4" w:space="0" w:color="FF0000"/>
              <w:left w:val="single" w:sz="8" w:space="0" w:color="auto"/>
              <w:bottom w:val="single" w:sz="4" w:space="0" w:color="FF0000"/>
              <w:right w:val="nil"/>
            </w:tcBorders>
            <w:shd w:val="clear" w:color="auto" w:fill="auto"/>
            <w:noWrap/>
            <w:vAlign w:val="bottom"/>
            <w:hideMark/>
          </w:tcPr>
          <w:p w14:paraId="27F5EBE6"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nil"/>
              <w:left w:val="single" w:sz="8" w:space="0" w:color="auto"/>
              <w:bottom w:val="single" w:sz="4" w:space="0" w:color="FF0000"/>
              <w:right w:val="single" w:sz="8" w:space="0" w:color="auto"/>
            </w:tcBorders>
            <w:shd w:val="clear" w:color="auto" w:fill="auto"/>
            <w:noWrap/>
            <w:vAlign w:val="bottom"/>
            <w:hideMark/>
          </w:tcPr>
          <w:p w14:paraId="206792E0"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EMOLUMENTS DU PERSONNEL </w:t>
            </w:r>
          </w:p>
        </w:tc>
        <w:tc>
          <w:tcPr>
            <w:tcW w:w="1341" w:type="dxa"/>
            <w:tcBorders>
              <w:top w:val="single" w:sz="4" w:space="0" w:color="FF0000"/>
              <w:left w:val="nil"/>
              <w:bottom w:val="single" w:sz="4" w:space="0" w:color="FF0000"/>
              <w:right w:val="single" w:sz="8" w:space="0" w:color="auto"/>
            </w:tcBorders>
            <w:shd w:val="clear" w:color="auto" w:fill="auto"/>
            <w:noWrap/>
            <w:vAlign w:val="bottom"/>
            <w:hideMark/>
          </w:tcPr>
          <w:p w14:paraId="407A5751"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15659084 </w:t>
            </w:r>
          </w:p>
        </w:tc>
        <w:tc>
          <w:tcPr>
            <w:tcW w:w="1069" w:type="dxa"/>
            <w:tcBorders>
              <w:top w:val="single" w:sz="4" w:space="0" w:color="FF0000"/>
              <w:left w:val="nil"/>
              <w:bottom w:val="single" w:sz="4" w:space="0" w:color="FF0000"/>
              <w:right w:val="single" w:sz="8" w:space="0" w:color="auto"/>
            </w:tcBorders>
            <w:shd w:val="clear" w:color="auto" w:fill="auto"/>
            <w:noWrap/>
            <w:vAlign w:val="bottom"/>
            <w:hideMark/>
          </w:tcPr>
          <w:p w14:paraId="3074A441"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17037848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05CE25B0"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1378764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50887CC5"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9%</w:t>
            </w:r>
          </w:p>
        </w:tc>
      </w:tr>
      <w:tr w:rsidR="00340598" w:rsidRPr="00B61E56" w14:paraId="6D75EBB5" w14:textId="77777777" w:rsidTr="00985388">
        <w:trPr>
          <w:trHeight w:val="274"/>
        </w:trPr>
        <w:tc>
          <w:tcPr>
            <w:tcW w:w="988" w:type="dxa"/>
            <w:tcBorders>
              <w:top w:val="single" w:sz="4" w:space="0" w:color="FF0000"/>
              <w:left w:val="single" w:sz="8" w:space="0" w:color="auto"/>
              <w:bottom w:val="single" w:sz="4" w:space="0" w:color="FF0000"/>
              <w:right w:val="nil"/>
            </w:tcBorders>
            <w:shd w:val="clear" w:color="auto" w:fill="auto"/>
            <w:noWrap/>
            <w:vAlign w:val="bottom"/>
            <w:hideMark/>
          </w:tcPr>
          <w:p w14:paraId="47CE9541"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B40ACFD"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Dépenses opérationnelles directes </w:t>
            </w:r>
          </w:p>
        </w:tc>
        <w:tc>
          <w:tcPr>
            <w:tcW w:w="1341" w:type="dxa"/>
            <w:tcBorders>
              <w:top w:val="single" w:sz="4" w:space="0" w:color="FF0000"/>
              <w:left w:val="nil"/>
              <w:bottom w:val="single" w:sz="4" w:space="0" w:color="FF0000"/>
              <w:right w:val="single" w:sz="8" w:space="0" w:color="auto"/>
            </w:tcBorders>
            <w:shd w:val="clear" w:color="auto" w:fill="auto"/>
            <w:noWrap/>
            <w:vAlign w:val="bottom"/>
            <w:hideMark/>
          </w:tcPr>
          <w:p w14:paraId="5B393F99"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4301600 </w:t>
            </w:r>
          </w:p>
        </w:tc>
        <w:tc>
          <w:tcPr>
            <w:tcW w:w="1069" w:type="dxa"/>
            <w:tcBorders>
              <w:top w:val="single" w:sz="4" w:space="0" w:color="FF0000"/>
              <w:left w:val="nil"/>
              <w:bottom w:val="single" w:sz="4" w:space="0" w:color="FF0000"/>
              <w:right w:val="single" w:sz="8" w:space="0" w:color="auto"/>
            </w:tcBorders>
            <w:shd w:val="clear" w:color="auto" w:fill="auto"/>
            <w:noWrap/>
            <w:vAlign w:val="bottom"/>
            <w:hideMark/>
          </w:tcPr>
          <w:p w14:paraId="3E49BAAE"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w:t>
            </w:r>
            <w:bookmarkStart w:id="5" w:name="_Hlk118480954"/>
            <w:r>
              <w:rPr>
                <w:rFonts w:ascii="Arial Narrow" w:hAnsi="Arial Narrow"/>
                <w:b/>
                <w:sz w:val="20"/>
              </w:rPr>
              <w:t xml:space="preserve">6460200 </w:t>
            </w:r>
            <w:bookmarkEnd w:id="5"/>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2D8B86D8" w14:textId="77777777" w:rsidR="00340598" w:rsidRPr="00B61E56" w:rsidRDefault="00340598" w:rsidP="008D6F5A">
            <w:pPr>
              <w:spacing w:after="0" w:line="240" w:lineRule="auto"/>
              <w:jc w:val="right"/>
              <w:rPr>
                <w:rFonts w:ascii="Arial Narrow" w:eastAsia="Times New Roman" w:hAnsi="Arial Narrow" w:cs="Calibri"/>
                <w:b/>
                <w:bCs/>
                <w:sz w:val="20"/>
                <w:szCs w:val="20"/>
              </w:rPr>
            </w:pPr>
            <w:bookmarkStart w:id="6" w:name="_Hlk118481003"/>
            <w:r>
              <w:rPr>
                <w:rFonts w:ascii="Arial Narrow" w:hAnsi="Arial Narrow"/>
                <w:b/>
                <w:sz w:val="20"/>
              </w:rPr>
              <w:t xml:space="preserve">      2158600 </w:t>
            </w:r>
            <w:bookmarkEnd w:id="6"/>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5CC0D9F1"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50%</w:t>
            </w:r>
          </w:p>
        </w:tc>
      </w:tr>
      <w:tr w:rsidR="00340598" w:rsidRPr="00B61E56" w14:paraId="74452777" w14:textId="77777777" w:rsidTr="00985388">
        <w:trPr>
          <w:trHeight w:val="274"/>
        </w:trPr>
        <w:tc>
          <w:tcPr>
            <w:tcW w:w="988" w:type="dxa"/>
            <w:tcBorders>
              <w:top w:val="nil"/>
              <w:left w:val="single" w:sz="8" w:space="0" w:color="auto"/>
              <w:bottom w:val="dashed" w:sz="4" w:space="0" w:color="auto"/>
              <w:right w:val="nil"/>
            </w:tcBorders>
            <w:shd w:val="clear" w:color="auto" w:fill="auto"/>
            <w:noWrap/>
            <w:vAlign w:val="bottom"/>
            <w:hideMark/>
          </w:tcPr>
          <w:p w14:paraId="5FE073F1"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40CCC1B0"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ACTIVITÉS DE PROGRAMME (financées par les bailleurs de fonds) </w:t>
            </w:r>
          </w:p>
        </w:tc>
        <w:tc>
          <w:tcPr>
            <w:tcW w:w="1341" w:type="dxa"/>
            <w:tcBorders>
              <w:top w:val="single" w:sz="4" w:space="0" w:color="FF0000"/>
              <w:left w:val="nil"/>
              <w:bottom w:val="single" w:sz="4" w:space="0" w:color="FF0000"/>
              <w:right w:val="single" w:sz="8" w:space="0" w:color="auto"/>
            </w:tcBorders>
            <w:shd w:val="clear" w:color="auto" w:fill="auto"/>
            <w:noWrap/>
            <w:vAlign w:val="bottom"/>
            <w:hideMark/>
          </w:tcPr>
          <w:p w14:paraId="0A2F4E50"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25881788 </w:t>
            </w:r>
          </w:p>
        </w:tc>
        <w:tc>
          <w:tcPr>
            <w:tcW w:w="1069" w:type="dxa"/>
            <w:tcBorders>
              <w:top w:val="single" w:sz="4" w:space="0" w:color="FF0000"/>
              <w:left w:val="nil"/>
              <w:bottom w:val="single" w:sz="4" w:space="0" w:color="FF0000"/>
              <w:right w:val="single" w:sz="8" w:space="0" w:color="auto"/>
            </w:tcBorders>
            <w:shd w:val="clear" w:color="auto" w:fill="auto"/>
            <w:noWrap/>
            <w:vAlign w:val="bottom"/>
            <w:hideMark/>
          </w:tcPr>
          <w:p w14:paraId="53DC1094"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w:t>
            </w:r>
            <w:r>
              <w:rPr>
                <w:rFonts w:ascii="Arial Narrow" w:hAnsi="Arial Narrow"/>
                <w:b/>
                <w:bCs/>
                <w:sz w:val="20"/>
              </w:rPr>
              <w:t>-</w:t>
            </w:r>
            <w:r>
              <w:rPr>
                <w:rFonts w:ascii="Arial Narrow" w:hAnsi="Arial Narrow"/>
                <w:b/>
                <w:sz w:val="20"/>
              </w:rPr>
              <w:t xml:space="preserve">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3C74DC7A"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25.881.788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6A3AFE92"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-100%</w:t>
            </w:r>
          </w:p>
        </w:tc>
      </w:tr>
      <w:tr w:rsidR="00340598" w:rsidRPr="00B61E56" w14:paraId="5F943B0E" w14:textId="77777777" w:rsidTr="00985388">
        <w:trPr>
          <w:trHeight w:val="286"/>
        </w:trPr>
        <w:tc>
          <w:tcPr>
            <w:tcW w:w="988" w:type="dxa"/>
            <w:tcBorders>
              <w:top w:val="nil"/>
              <w:left w:val="single" w:sz="8" w:space="0" w:color="auto"/>
              <w:bottom w:val="dashed" w:sz="4" w:space="0" w:color="auto"/>
              <w:right w:val="nil"/>
            </w:tcBorders>
            <w:shd w:val="clear" w:color="auto" w:fill="auto"/>
            <w:noWrap/>
            <w:vAlign w:val="bottom"/>
            <w:hideMark/>
          </w:tcPr>
          <w:p w14:paraId="1C07E6CF"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nil"/>
              <w:left w:val="single" w:sz="8" w:space="0" w:color="auto"/>
              <w:bottom w:val="single" w:sz="4" w:space="0" w:color="FF0000"/>
              <w:right w:val="single" w:sz="8" w:space="0" w:color="auto"/>
            </w:tcBorders>
            <w:shd w:val="clear" w:color="auto" w:fill="auto"/>
            <w:noWrap/>
            <w:vAlign w:val="bottom"/>
            <w:hideMark/>
          </w:tcPr>
          <w:p w14:paraId="762E604C" w14:textId="3080A36B"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AUTRES DÉPENSES NON-RÉCURRENTES </w:t>
            </w:r>
          </w:p>
        </w:tc>
        <w:tc>
          <w:tcPr>
            <w:tcW w:w="1341" w:type="dxa"/>
            <w:tcBorders>
              <w:top w:val="single" w:sz="4" w:space="0" w:color="FF0000"/>
              <w:left w:val="nil"/>
              <w:bottom w:val="single" w:sz="4" w:space="0" w:color="FF0000"/>
              <w:right w:val="single" w:sz="8" w:space="0" w:color="auto"/>
            </w:tcBorders>
            <w:shd w:val="clear" w:color="auto" w:fill="auto"/>
            <w:noWrap/>
            <w:vAlign w:val="bottom"/>
            <w:hideMark/>
          </w:tcPr>
          <w:p w14:paraId="6C31404A"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1593648 </w:t>
            </w:r>
          </w:p>
        </w:tc>
        <w:tc>
          <w:tcPr>
            <w:tcW w:w="1069" w:type="dxa"/>
            <w:tcBorders>
              <w:top w:val="single" w:sz="4" w:space="0" w:color="FF0000"/>
              <w:left w:val="nil"/>
              <w:bottom w:val="single" w:sz="4" w:space="0" w:color="FF0000"/>
              <w:right w:val="single" w:sz="8" w:space="0" w:color="auto"/>
            </w:tcBorders>
            <w:shd w:val="clear" w:color="auto" w:fill="auto"/>
            <w:noWrap/>
            <w:vAlign w:val="bottom"/>
            <w:hideMark/>
          </w:tcPr>
          <w:p w14:paraId="387C3A50"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867225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10D5EA67"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726 423 </w:t>
            </w:r>
          </w:p>
        </w:tc>
        <w:tc>
          <w:tcPr>
            <w:tcW w:w="1537" w:type="dxa"/>
            <w:tcBorders>
              <w:top w:val="single" w:sz="4" w:space="0" w:color="FF0000"/>
              <w:left w:val="nil"/>
              <w:bottom w:val="single" w:sz="4" w:space="0" w:color="FF0000"/>
              <w:right w:val="single" w:sz="8" w:space="0" w:color="auto"/>
            </w:tcBorders>
            <w:shd w:val="clear" w:color="auto" w:fill="auto"/>
            <w:noWrap/>
            <w:vAlign w:val="bottom"/>
            <w:hideMark/>
          </w:tcPr>
          <w:p w14:paraId="798E3500" w14:textId="77777777" w:rsidR="00340598" w:rsidRPr="00B61E56" w:rsidRDefault="00340598" w:rsidP="008D6F5A">
            <w:pPr>
              <w:spacing w:after="0" w:line="240" w:lineRule="auto"/>
              <w:jc w:val="right"/>
              <w:rPr>
                <w:rFonts w:ascii="Calibri" w:eastAsia="Times New Roman" w:hAnsi="Calibri" w:cs="Calibri"/>
                <w:b/>
                <w:bCs/>
                <w:sz w:val="20"/>
                <w:szCs w:val="20"/>
              </w:rPr>
            </w:pPr>
            <w:r>
              <w:rPr>
                <w:rFonts w:ascii="Calibri" w:hAnsi="Calibri"/>
                <w:b/>
                <w:sz w:val="20"/>
              </w:rPr>
              <w:t>-46%</w:t>
            </w:r>
          </w:p>
        </w:tc>
      </w:tr>
      <w:tr w:rsidR="00340598" w:rsidRPr="00B61E56" w14:paraId="4F47EF21" w14:textId="77777777" w:rsidTr="00985388">
        <w:trPr>
          <w:trHeight w:val="286"/>
        </w:trPr>
        <w:tc>
          <w:tcPr>
            <w:tcW w:w="988"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54AA843E"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single" w:sz="8" w:space="0" w:color="auto"/>
              <w:left w:val="nil"/>
              <w:bottom w:val="single" w:sz="8" w:space="0" w:color="auto"/>
              <w:right w:val="single" w:sz="8" w:space="0" w:color="auto"/>
            </w:tcBorders>
            <w:shd w:val="clear" w:color="000000" w:fill="BFBFBF"/>
            <w:noWrap/>
            <w:vAlign w:val="bottom"/>
            <w:hideMark/>
          </w:tcPr>
          <w:p w14:paraId="2CA0178A"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DÉPENSES TOTALES </w:t>
            </w:r>
          </w:p>
        </w:tc>
        <w:tc>
          <w:tcPr>
            <w:tcW w:w="1341" w:type="dxa"/>
            <w:tcBorders>
              <w:top w:val="single" w:sz="8" w:space="0" w:color="auto"/>
              <w:left w:val="nil"/>
              <w:bottom w:val="single" w:sz="8" w:space="0" w:color="auto"/>
              <w:right w:val="single" w:sz="8" w:space="0" w:color="auto"/>
            </w:tcBorders>
            <w:shd w:val="clear" w:color="000000" w:fill="BFBFBF"/>
            <w:noWrap/>
            <w:vAlign w:val="bottom"/>
            <w:hideMark/>
          </w:tcPr>
          <w:p w14:paraId="14B3DAE2"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50141678 </w:t>
            </w:r>
          </w:p>
        </w:tc>
        <w:tc>
          <w:tcPr>
            <w:tcW w:w="1069" w:type="dxa"/>
            <w:tcBorders>
              <w:top w:val="single" w:sz="8" w:space="0" w:color="auto"/>
              <w:left w:val="nil"/>
              <w:bottom w:val="single" w:sz="8" w:space="0" w:color="auto"/>
              <w:right w:val="single" w:sz="8" w:space="0" w:color="auto"/>
            </w:tcBorders>
            <w:shd w:val="clear" w:color="000000" w:fill="BFBFBF"/>
            <w:noWrap/>
            <w:vAlign w:val="bottom"/>
            <w:hideMark/>
          </w:tcPr>
          <w:p w14:paraId="52E0CA18"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28262888 </w:t>
            </w:r>
          </w:p>
        </w:tc>
        <w:tc>
          <w:tcPr>
            <w:tcW w:w="1537" w:type="dxa"/>
            <w:tcBorders>
              <w:top w:val="single" w:sz="8" w:space="0" w:color="auto"/>
              <w:left w:val="nil"/>
              <w:bottom w:val="single" w:sz="8" w:space="0" w:color="auto"/>
              <w:right w:val="single" w:sz="8" w:space="0" w:color="auto"/>
            </w:tcBorders>
            <w:shd w:val="clear" w:color="000000" w:fill="BFBFBF"/>
            <w:noWrap/>
            <w:vAlign w:val="bottom"/>
            <w:hideMark/>
          </w:tcPr>
          <w:p w14:paraId="14B5EB30"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21.878.790 </w:t>
            </w:r>
          </w:p>
        </w:tc>
        <w:tc>
          <w:tcPr>
            <w:tcW w:w="1537" w:type="dxa"/>
            <w:tcBorders>
              <w:top w:val="single" w:sz="8" w:space="0" w:color="auto"/>
              <w:left w:val="nil"/>
              <w:bottom w:val="single" w:sz="8" w:space="0" w:color="auto"/>
              <w:right w:val="single" w:sz="8" w:space="0" w:color="auto"/>
            </w:tcBorders>
            <w:shd w:val="clear" w:color="000000" w:fill="BFBFBF"/>
            <w:noWrap/>
            <w:vAlign w:val="bottom"/>
            <w:hideMark/>
          </w:tcPr>
          <w:p w14:paraId="220C5C91"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-44%</w:t>
            </w:r>
          </w:p>
        </w:tc>
      </w:tr>
      <w:tr w:rsidR="00340598" w:rsidRPr="00B61E56" w14:paraId="72CC5513" w14:textId="77777777" w:rsidTr="00985388">
        <w:trPr>
          <w:trHeight w:val="286"/>
        </w:trPr>
        <w:tc>
          <w:tcPr>
            <w:tcW w:w="988" w:type="dxa"/>
            <w:tcBorders>
              <w:top w:val="nil"/>
              <w:left w:val="single" w:sz="8" w:space="0" w:color="auto"/>
              <w:bottom w:val="single" w:sz="8" w:space="0" w:color="auto"/>
              <w:right w:val="single" w:sz="8" w:space="0" w:color="auto"/>
            </w:tcBorders>
            <w:shd w:val="clear" w:color="auto" w:fill="auto"/>
            <w:noWrap/>
            <w:vAlign w:val="bottom"/>
            <w:hideMark/>
          </w:tcPr>
          <w:p w14:paraId="15ADB7A2"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608" w:type="dxa"/>
            <w:tcBorders>
              <w:top w:val="nil"/>
              <w:left w:val="nil"/>
              <w:bottom w:val="single" w:sz="8" w:space="0" w:color="auto"/>
              <w:right w:val="single" w:sz="8" w:space="0" w:color="auto"/>
            </w:tcBorders>
            <w:shd w:val="clear" w:color="auto" w:fill="auto"/>
            <w:noWrap/>
            <w:vAlign w:val="bottom"/>
            <w:hideMark/>
          </w:tcPr>
          <w:p w14:paraId="446A71E1"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EXCÉDENT/(DÉFICIT) </w:t>
            </w:r>
          </w:p>
        </w:tc>
        <w:tc>
          <w:tcPr>
            <w:tcW w:w="1341" w:type="dxa"/>
            <w:tcBorders>
              <w:top w:val="nil"/>
              <w:left w:val="nil"/>
              <w:bottom w:val="single" w:sz="8" w:space="0" w:color="auto"/>
              <w:right w:val="single" w:sz="8" w:space="0" w:color="auto"/>
            </w:tcBorders>
            <w:shd w:val="clear" w:color="auto" w:fill="auto"/>
            <w:noWrap/>
            <w:vAlign w:val="bottom"/>
            <w:hideMark/>
          </w:tcPr>
          <w:p w14:paraId="429FAF23"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1281264 </w:t>
            </w:r>
          </w:p>
        </w:tc>
        <w:tc>
          <w:tcPr>
            <w:tcW w:w="1069" w:type="dxa"/>
            <w:tcBorders>
              <w:top w:val="nil"/>
              <w:left w:val="nil"/>
              <w:bottom w:val="single" w:sz="8" w:space="0" w:color="auto"/>
              <w:right w:val="single" w:sz="8" w:space="0" w:color="auto"/>
            </w:tcBorders>
            <w:shd w:val="clear" w:color="auto" w:fill="auto"/>
            <w:noWrap/>
            <w:vAlign w:val="bottom"/>
            <w:hideMark/>
          </w:tcPr>
          <w:p w14:paraId="030EA8DC"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125162 </w:t>
            </w:r>
          </w:p>
        </w:tc>
        <w:tc>
          <w:tcPr>
            <w:tcW w:w="1537" w:type="dxa"/>
            <w:tcBorders>
              <w:top w:val="nil"/>
              <w:left w:val="nil"/>
              <w:bottom w:val="single" w:sz="8" w:space="0" w:color="auto"/>
              <w:right w:val="single" w:sz="8" w:space="0" w:color="auto"/>
            </w:tcBorders>
            <w:shd w:val="clear" w:color="auto" w:fill="auto"/>
            <w:noWrap/>
            <w:vAlign w:val="bottom"/>
            <w:hideMark/>
          </w:tcPr>
          <w:p w14:paraId="6470BCE9"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1.156.102 </w:t>
            </w:r>
          </w:p>
        </w:tc>
        <w:tc>
          <w:tcPr>
            <w:tcW w:w="1537" w:type="dxa"/>
            <w:tcBorders>
              <w:top w:val="nil"/>
              <w:left w:val="nil"/>
              <w:bottom w:val="single" w:sz="8" w:space="0" w:color="auto"/>
              <w:right w:val="single" w:sz="8" w:space="0" w:color="auto"/>
            </w:tcBorders>
            <w:shd w:val="clear" w:color="auto" w:fill="auto"/>
            <w:noWrap/>
            <w:vAlign w:val="bottom"/>
            <w:hideMark/>
          </w:tcPr>
          <w:p w14:paraId="540C314E" w14:textId="77777777" w:rsidR="00340598" w:rsidRPr="00B61E56" w:rsidRDefault="0034059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-90%</w:t>
            </w:r>
          </w:p>
        </w:tc>
      </w:tr>
    </w:tbl>
    <w:p w14:paraId="552F607F" w14:textId="5A6D3EBC" w:rsidR="00A8079A" w:rsidRPr="00B61E56" w:rsidRDefault="00A8079A" w:rsidP="002003BF">
      <w:pPr>
        <w:pStyle w:val="ListParagraph"/>
        <w:spacing w:after="0" w:line="240" w:lineRule="auto"/>
        <w:ind w:left="709" w:hanging="709"/>
        <w:jc w:val="both"/>
        <w:rPr>
          <w:rFonts w:ascii="Bookman Old Style" w:hAnsi="Bookman Old Style"/>
          <w:b/>
          <w:sz w:val="24"/>
          <w:szCs w:val="24"/>
        </w:rPr>
      </w:pPr>
    </w:p>
    <w:p w14:paraId="3355F3A9" w14:textId="1027967C" w:rsidR="00C64A7A" w:rsidRPr="00B61E56" w:rsidRDefault="00062689" w:rsidP="009B2C35">
      <w:pPr>
        <w:pStyle w:val="ListParagraph"/>
        <w:keepNext/>
        <w:keepLines/>
        <w:numPr>
          <w:ilvl w:val="1"/>
          <w:numId w:val="33"/>
        </w:numPr>
        <w:spacing w:after="0" w:line="240" w:lineRule="auto"/>
        <w:rPr>
          <w:rFonts w:ascii="Bookman Old Style" w:hAnsi="Bookman Old Style"/>
          <w:b/>
          <w:bCs/>
          <w:sz w:val="24"/>
          <w:szCs w:val="24"/>
        </w:rPr>
      </w:pPr>
      <w:r>
        <w:rPr>
          <w:rFonts w:ascii="Bookman Old Style" w:hAnsi="Bookman Old Style"/>
          <w:b/>
          <w:sz w:val="24"/>
        </w:rPr>
        <w:t xml:space="preserve">Total des dépenses budgétisées : </w:t>
      </w:r>
      <w:bookmarkStart w:id="7" w:name="_Hlk117688545"/>
      <w:r>
        <w:rPr>
          <w:rFonts w:ascii="Bookman Old Style" w:hAnsi="Bookman Old Style"/>
          <w:b/>
          <w:sz w:val="24"/>
        </w:rPr>
        <w:t>N$</w:t>
      </w:r>
      <w:bookmarkEnd w:id="7"/>
      <w:r>
        <w:rPr>
          <w:rFonts w:ascii="Bookman Old Style" w:hAnsi="Bookman Old Style"/>
          <w:b/>
          <w:sz w:val="24"/>
        </w:rPr>
        <w:t>28262888</w:t>
      </w:r>
    </w:p>
    <w:p w14:paraId="25BCB36B" w14:textId="18343B93" w:rsidR="00062689" w:rsidRPr="00B61E56" w:rsidRDefault="00062689" w:rsidP="009B2C35">
      <w:pPr>
        <w:pStyle w:val="ListParagraph"/>
        <w:keepNext/>
        <w:keepLines/>
        <w:spacing w:after="0" w:line="240" w:lineRule="auto"/>
        <w:ind w:left="709"/>
        <w:jc w:val="both"/>
        <w:rPr>
          <w:rFonts w:ascii="Bookman Old Style" w:hAnsi="Bookman Old Style"/>
          <w:b/>
          <w:bCs/>
          <w:sz w:val="24"/>
          <w:szCs w:val="24"/>
        </w:rPr>
      </w:pPr>
    </w:p>
    <w:p w14:paraId="736821B2" w14:textId="0A7DC900" w:rsidR="00BD5941" w:rsidRPr="008D6F5A" w:rsidRDefault="00E111F6" w:rsidP="008D6F5A">
      <w:pPr>
        <w:pStyle w:val="ListParagraph"/>
        <w:keepNext/>
        <w:keepLines/>
        <w:numPr>
          <w:ilvl w:val="2"/>
          <w:numId w:val="33"/>
        </w:numPr>
        <w:spacing w:after="0" w:line="240" w:lineRule="auto"/>
        <w:jc w:val="both"/>
        <w:rPr>
          <w:rFonts w:ascii="Bookman Old Style" w:hAnsi="Bookman Old Style"/>
          <w:sz w:val="24"/>
        </w:rPr>
      </w:pPr>
      <w:r w:rsidRPr="008D6F5A">
        <w:rPr>
          <w:rFonts w:ascii="Bookman Old Style" w:hAnsi="Bookman Old Style"/>
          <w:sz w:val="24"/>
        </w:rPr>
        <w:t>Le total des dépenses budgétisées s'élève à N$ 28 262 888, alors que le total des dépenses attribuables aux contributions obligatoires et aux autres revenus s'élève à N$ 24 259 890 en 2022/2023 (Un montant de 25 881 788 sur le total de N$ 50 141 678 pour 2022/2023 était destiné aux fonds des donateurs Notez que les dépenses budgétisées pour 2023/2024 ne comprennent pas les dépenses financées par les bailleurs de fonds, comme c'était le cas dans le budget 2022/2023). Les dépenses budgétisées au titre des fonds de la SADC PF ont donc augmenté de N$ 4,0 millions (16,5 %).</w:t>
      </w:r>
    </w:p>
    <w:p w14:paraId="14653A64" w14:textId="77777777" w:rsidR="008D6F5A" w:rsidRPr="008D6F5A" w:rsidRDefault="008D6F5A" w:rsidP="008D6F5A">
      <w:pPr>
        <w:pStyle w:val="ListParagraph"/>
        <w:keepNext/>
        <w:keepLines/>
        <w:spacing w:after="0" w:line="240" w:lineRule="auto"/>
        <w:jc w:val="both"/>
        <w:rPr>
          <w:rFonts w:ascii="Bookman Old Style" w:hAnsi="Bookman Old Style"/>
          <w:sz w:val="24"/>
          <w:szCs w:val="24"/>
        </w:rPr>
      </w:pPr>
    </w:p>
    <w:p w14:paraId="559A0E12" w14:textId="300089AF" w:rsidR="00062689" w:rsidRPr="00BD5941" w:rsidRDefault="00E111F6" w:rsidP="00BD5941">
      <w:pPr>
        <w:spacing w:after="0" w:line="240" w:lineRule="auto"/>
        <w:ind w:left="709" w:hanging="709"/>
        <w:jc w:val="both"/>
        <w:rPr>
          <w:rFonts w:ascii="Bookman Old Style" w:hAnsi="Bookman Old Style"/>
          <w:sz w:val="24"/>
          <w:szCs w:val="24"/>
        </w:rPr>
      </w:pPr>
      <w:r>
        <w:rPr>
          <w:rFonts w:ascii="Bookman Old Style" w:hAnsi="Bookman Old Style"/>
          <w:sz w:val="24"/>
        </w:rPr>
        <w:t>5.2.2.</w:t>
      </w:r>
      <w:r>
        <w:rPr>
          <w:rFonts w:ascii="Bookman Old Style" w:hAnsi="Bookman Old Style"/>
          <w:sz w:val="24"/>
        </w:rPr>
        <w:tab/>
        <w:t xml:space="preserve">L'excédent des revenus budgétisés par rapport aux dépenses est négligeable, à N$ 125 162, après avoir prévu une réserve pour imprévus de N$ 60 000. </w:t>
      </w:r>
    </w:p>
    <w:p w14:paraId="4E8BD569" w14:textId="77777777" w:rsidR="00062689" w:rsidRPr="008040EC" w:rsidRDefault="00062689" w:rsidP="00692D5F">
      <w:pPr>
        <w:pStyle w:val="ListParagraph"/>
        <w:spacing w:after="0" w:line="240" w:lineRule="auto"/>
        <w:ind w:left="709" w:hanging="709"/>
        <w:jc w:val="both"/>
        <w:rPr>
          <w:rFonts w:ascii="Bookman Old Style" w:hAnsi="Bookman Old Style"/>
          <w:b/>
          <w:sz w:val="24"/>
          <w:szCs w:val="24"/>
        </w:rPr>
      </w:pPr>
    </w:p>
    <w:p w14:paraId="1657E4A9" w14:textId="20547EE3" w:rsidR="00630B4A" w:rsidRPr="008D6F5A" w:rsidRDefault="00630B4A" w:rsidP="00E111F6">
      <w:pPr>
        <w:pStyle w:val="ListParagraph"/>
        <w:numPr>
          <w:ilvl w:val="1"/>
          <w:numId w:val="33"/>
        </w:numPr>
        <w:spacing w:after="0" w:line="240" w:lineRule="auto"/>
        <w:rPr>
          <w:rFonts w:ascii="Bookman Old Style" w:hAnsi="Bookman Old Style"/>
          <w:b/>
          <w:bCs/>
          <w:sz w:val="24"/>
          <w:szCs w:val="24"/>
        </w:rPr>
      </w:pPr>
      <w:r>
        <w:rPr>
          <w:rFonts w:ascii="Bookman Old Style" w:hAnsi="Bookman Old Style"/>
          <w:b/>
          <w:bCs/>
          <w:sz w:val="24"/>
        </w:rPr>
        <w:t>Émoluments du personnel :</w:t>
      </w:r>
      <w:r>
        <w:rPr>
          <w:rFonts w:ascii="Bookman Old Style" w:hAnsi="Bookman Old Style"/>
          <w:b/>
          <w:sz w:val="24"/>
        </w:rPr>
        <w:t xml:space="preserve"> N$ 17 037 848</w:t>
      </w:r>
    </w:p>
    <w:p w14:paraId="64949F22" w14:textId="77777777" w:rsidR="008D6F5A" w:rsidRPr="008D6F5A" w:rsidRDefault="008D6F5A" w:rsidP="008D6F5A">
      <w:pPr>
        <w:spacing w:after="0" w:line="240" w:lineRule="auto"/>
        <w:rPr>
          <w:rFonts w:ascii="Bookman Old Style" w:hAnsi="Bookman Old Style"/>
          <w:b/>
          <w:bCs/>
          <w:sz w:val="24"/>
          <w:szCs w:val="24"/>
        </w:rPr>
      </w:pPr>
    </w:p>
    <w:p w14:paraId="45807A0D" w14:textId="766B4C01" w:rsidR="002D70AD" w:rsidRPr="008040EC" w:rsidRDefault="00630B4A"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 budget total proposé pour les émoluments du personnel s'élève à N$ 17 037 848, ce qui représente une augmentation de N$ 1 378 764 (9 %) par rapport au budget de l'exercice 2022/2023 qui s'élevait à N$ N$ 15 659 084. Ceci est le résultat de l'ajustement annuel de la structure salariale en fonction de l'indice des prix à la consommation (IPC) et de l'augmentation des crans (recommandations des exercices d'évaluation des emplois et de révision des salaires tels qu'approuvés par le Comité exécutif lors de sa réunion des 12 et 13 novembre 2021). Ce montant </w:t>
      </w:r>
      <w:r>
        <w:rPr>
          <w:rFonts w:ascii="Bookman Old Style" w:hAnsi="Bookman Old Style"/>
          <w:sz w:val="24"/>
        </w:rPr>
        <w:lastRenderedPageBreak/>
        <w:t xml:space="preserve">comprend une provision de N$ 80 000 par an pour la contribution au régime de prestations de décès des employés auprès d'Old </w:t>
      </w:r>
      <w:proofErr w:type="spellStart"/>
      <w:r>
        <w:rPr>
          <w:rFonts w:ascii="Bookman Old Style" w:hAnsi="Bookman Old Style"/>
          <w:sz w:val="24"/>
        </w:rPr>
        <w:t>Mutual</w:t>
      </w:r>
      <w:proofErr w:type="spellEnd"/>
      <w:r>
        <w:rPr>
          <w:rFonts w:ascii="Bookman Old Style" w:hAnsi="Bookman Old Style"/>
          <w:sz w:val="24"/>
        </w:rPr>
        <w:t xml:space="preserve"> pour deux fois le salaire annuel. </w:t>
      </w:r>
    </w:p>
    <w:p w14:paraId="38C24D43" w14:textId="77777777" w:rsidR="002003BF" w:rsidRPr="008040EC" w:rsidRDefault="002003BF" w:rsidP="002003BF">
      <w:pPr>
        <w:pStyle w:val="ListParagraph"/>
        <w:spacing w:after="0" w:line="240" w:lineRule="auto"/>
        <w:ind w:left="709"/>
        <w:jc w:val="both"/>
        <w:rPr>
          <w:rFonts w:ascii="Bookman Old Style" w:hAnsi="Bookman Old Style"/>
          <w:sz w:val="24"/>
          <w:szCs w:val="24"/>
        </w:rPr>
      </w:pPr>
    </w:p>
    <w:p w14:paraId="1FD4B92A" w14:textId="318AF093" w:rsidR="0052511D" w:rsidRDefault="0052511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Les points ci-après méritent d’être soulignés :</w:t>
      </w:r>
    </w:p>
    <w:p w14:paraId="2AB9885D" w14:textId="77777777" w:rsidR="0052511D" w:rsidRPr="0052511D" w:rsidRDefault="0052511D" w:rsidP="0052511D">
      <w:pPr>
        <w:pStyle w:val="ListParagraph"/>
        <w:rPr>
          <w:rFonts w:ascii="Bookman Old Style" w:hAnsi="Bookman Old Style"/>
          <w:sz w:val="24"/>
          <w:szCs w:val="24"/>
        </w:rPr>
      </w:pPr>
    </w:p>
    <w:p w14:paraId="3A3BFF2F" w14:textId="0A0B1319" w:rsidR="0052511D" w:rsidRPr="008D6F5A" w:rsidRDefault="0052511D" w:rsidP="0052511D">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rPr>
        <w:t xml:space="preserve">Pour l'exercice 2023/2024, conformément à la condition préalable à l'accord avec Sida, le Forum s'est engagé à prendre désormais en charge les salaires des deux postes, à savoir le directeur de la gouvernance d'entreprise et le secrétaire du comité et gestionnaire de programme, pour un montant de N$ 3,1 millions par an. Ils seront pris en charge par le budget principal de la SADC PF. </w:t>
      </w:r>
      <w:bookmarkStart w:id="8" w:name="_Hlk117755837"/>
      <w:r>
        <w:rPr>
          <w:rFonts w:ascii="Bookman Old Style" w:hAnsi="Bookman Old Style"/>
          <w:sz w:val="24"/>
        </w:rPr>
        <w:t xml:space="preserve">Heureusement, les postes ont également été budgétisés sur l'année 2022/2023 en raison de l'incertitude du financement externe au moment de la budgétisation, ce qui signifie que l'augmentation nette de la facture salariale pour l'exercice 2023/2024 n'est que de N$ 1,4. </w:t>
      </w:r>
    </w:p>
    <w:p w14:paraId="65E86E50" w14:textId="77777777" w:rsidR="008D6F5A" w:rsidRDefault="008D6F5A" w:rsidP="008D6F5A">
      <w:pPr>
        <w:pStyle w:val="ListParagraph"/>
        <w:spacing w:after="0" w:line="240" w:lineRule="auto"/>
        <w:ind w:left="1429"/>
        <w:jc w:val="both"/>
        <w:rPr>
          <w:rFonts w:ascii="Bookman Old Style" w:hAnsi="Bookman Old Style"/>
          <w:sz w:val="24"/>
          <w:szCs w:val="24"/>
        </w:rPr>
      </w:pPr>
    </w:p>
    <w:bookmarkEnd w:id="8"/>
    <w:p w14:paraId="7B6BFFA7" w14:textId="5018C2D6" w:rsidR="009A2793" w:rsidRPr="008D6F5A" w:rsidRDefault="009A2793" w:rsidP="0052511D">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rPr>
        <w:t>L'augmentation nette de N$ 1,4 million tient également compte de l'ajout d'un secrétaire de comité et d'un gestionnaire de programme pour le programme TIFI, tandis que la provision pour les détachements a été supprimée. La dotation pour les détachements est désormais affectée à ce poste. Le choix de TIFI s'impose au vu des priorités présentées par le Sommet de la SADC concernant le programme d'intégration régionale.</w:t>
      </w:r>
    </w:p>
    <w:p w14:paraId="60F7655B" w14:textId="77777777" w:rsidR="008D6F5A" w:rsidRPr="008D6F5A" w:rsidRDefault="008D6F5A" w:rsidP="008D6F5A">
      <w:pPr>
        <w:spacing w:after="0" w:line="240" w:lineRule="auto"/>
        <w:jc w:val="both"/>
        <w:rPr>
          <w:rFonts w:ascii="Bookman Old Style" w:hAnsi="Bookman Old Style"/>
          <w:sz w:val="24"/>
          <w:szCs w:val="24"/>
        </w:rPr>
      </w:pPr>
    </w:p>
    <w:p w14:paraId="4D55F98D" w14:textId="39CF0101" w:rsidR="00AD62DE" w:rsidRPr="008D6F5A" w:rsidRDefault="00F9083F" w:rsidP="00AD62DE">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rPr>
        <w:t xml:space="preserve">Le projet de loi sur les salaires prévoit également l'externalisation des fonctions d'expert en ressources humaines, d'expert en médias et de deux stagiaires en TIC à 18 000 dollars namibiens par mois chacun (dans le cas des stagiaires en TIC, le taux est de 9 000 dollars namibiens par stagiaire en TIC multiplié par deux). </w:t>
      </w:r>
      <w:r w:rsidRPr="008D6F5A">
        <w:rPr>
          <w:rFonts w:ascii="Bookman Old Style" w:hAnsi="Bookman Old Style"/>
          <w:sz w:val="24"/>
        </w:rPr>
        <w:t>L</w:t>
      </w:r>
      <w:r w:rsidR="00E06566" w:rsidRPr="008D6F5A">
        <w:rPr>
          <w:rFonts w:ascii="Bookman Old Style" w:hAnsi="Bookman Old Style"/>
          <w:sz w:val="24"/>
        </w:rPr>
        <w:t>’Assemblée plénière</w:t>
      </w:r>
      <w:r>
        <w:rPr>
          <w:rFonts w:ascii="Bookman Old Style" w:hAnsi="Bookman Old Style"/>
          <w:sz w:val="24"/>
        </w:rPr>
        <w:t xml:space="preserve"> est informé</w:t>
      </w:r>
      <w:r w:rsidR="00E06566">
        <w:rPr>
          <w:rFonts w:ascii="Bookman Old Style" w:hAnsi="Bookman Old Style"/>
          <w:sz w:val="24"/>
        </w:rPr>
        <w:t>e</w:t>
      </w:r>
      <w:r>
        <w:rPr>
          <w:rFonts w:ascii="Bookman Old Style" w:hAnsi="Bookman Old Style"/>
          <w:sz w:val="24"/>
        </w:rPr>
        <w:t xml:space="preserve"> que ces postes étaient auparavant financés par des fonds de Sida.</w:t>
      </w:r>
    </w:p>
    <w:p w14:paraId="556658EE" w14:textId="77777777" w:rsidR="008D6F5A" w:rsidRDefault="008D6F5A" w:rsidP="008D6F5A">
      <w:pPr>
        <w:pStyle w:val="ListParagraph"/>
        <w:spacing w:after="0" w:line="240" w:lineRule="auto"/>
        <w:ind w:left="1429"/>
        <w:jc w:val="both"/>
        <w:rPr>
          <w:rFonts w:ascii="Bookman Old Style" w:hAnsi="Bookman Old Style"/>
          <w:sz w:val="24"/>
          <w:szCs w:val="24"/>
        </w:rPr>
      </w:pPr>
    </w:p>
    <w:p w14:paraId="084D3457" w14:textId="2E70FE66" w:rsidR="00AD62DE" w:rsidRPr="00AD62DE" w:rsidRDefault="00AD62DE" w:rsidP="00AD62DE">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i/>
          <w:sz w:val="24"/>
        </w:rPr>
        <w:t>Tous les contrats conclus pour des postes à temps plein ne peuvent être que d'une durée de cinq ans, compte tenu des contraintes financières et de l'incertitude des financements futurs.</w:t>
      </w:r>
    </w:p>
    <w:p w14:paraId="574EE251" w14:textId="77777777" w:rsidR="00AD62DE" w:rsidRDefault="00AD62DE" w:rsidP="00AD62DE">
      <w:pPr>
        <w:pStyle w:val="ListParagraph"/>
        <w:spacing w:after="0" w:line="240" w:lineRule="auto"/>
        <w:ind w:left="1429"/>
        <w:jc w:val="both"/>
        <w:rPr>
          <w:rFonts w:ascii="Bookman Old Style" w:hAnsi="Bookman Old Style"/>
          <w:sz w:val="24"/>
          <w:szCs w:val="24"/>
        </w:rPr>
      </w:pPr>
    </w:p>
    <w:p w14:paraId="5DB63027" w14:textId="77777777" w:rsidR="00A278A6" w:rsidRPr="00A278A6" w:rsidRDefault="00A278A6" w:rsidP="00D416E8">
      <w:pPr>
        <w:pStyle w:val="ListParagraph"/>
        <w:spacing w:after="0" w:line="240" w:lineRule="auto"/>
        <w:ind w:left="1429"/>
        <w:jc w:val="both"/>
        <w:rPr>
          <w:rFonts w:ascii="Bookman Old Style" w:hAnsi="Bookman Old Style"/>
          <w:sz w:val="24"/>
          <w:szCs w:val="24"/>
        </w:rPr>
      </w:pPr>
    </w:p>
    <w:p w14:paraId="4F6D3654" w14:textId="765374DB" w:rsidR="002003BF" w:rsidRPr="00E111F6" w:rsidRDefault="00D06E13"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 budget pour 2023/2024 prévoit donc un total de 20 postes, dont 16 sont des employés à temps plein, 2 sont externalisés et 2 sont des stagiaires. Bien qu'il soit nécessaire d'augmenter le personnel, en particulier au sein du département « Affaires et programmes parlementaires », les postes vacants ne peuvent être pourvus car la situation financière est telle que les contrats pour tout personnel supplémentaire au-delà de ceux déjà prévus ne peuvent être garantis pour la durée minimale requise de cinq ans. Ceci compte tenu de la décision de l'Assemblée plénière de ne pas augmenter les contributions obligatoires des membres au cours des prochaines années. </w:t>
      </w:r>
    </w:p>
    <w:p w14:paraId="7AB6DF34" w14:textId="77777777" w:rsidR="00AD62DE" w:rsidRDefault="00AD62DE" w:rsidP="00AD62DE">
      <w:pPr>
        <w:pStyle w:val="ListParagraph"/>
        <w:spacing w:after="0" w:line="240" w:lineRule="auto"/>
        <w:ind w:left="709"/>
        <w:jc w:val="both"/>
        <w:rPr>
          <w:rFonts w:ascii="Bookman Old Style" w:hAnsi="Bookman Old Style"/>
          <w:i/>
          <w:iCs/>
          <w:sz w:val="24"/>
          <w:szCs w:val="24"/>
        </w:rPr>
      </w:pPr>
    </w:p>
    <w:p w14:paraId="7A51869C" w14:textId="7EFF096F" w:rsidR="00630B4A" w:rsidRPr="001366E6" w:rsidRDefault="00F23CD3"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Avec les effectifs actuels, y compris un secrétaire de comité et un gestionnaire de programme de plus, la tendance projetée est la suivante : si les contributions ne sont pas augmentées, la facture salariale représentera 99 % des contributions des membres en 2026. L'augmentation est estimée à 7 % par an sur la base de l'IPC moyen de 5 % pour la période de janvier à septembre 2022 et de l'échelon de 2 %. Le pourcentage des salaires par rapport aux contributions des membres est actuellement de 81%. Cela signifie qu'en l'absence d'augmentation des contributions des membres, et sans financement externe, les activités du Forum seront fortement et négativement affectées.</w:t>
      </w:r>
    </w:p>
    <w:p w14:paraId="058221B8" w14:textId="6C543694" w:rsidR="006942FF" w:rsidRPr="00C708BD" w:rsidRDefault="006942FF" w:rsidP="00C708BD">
      <w:pPr>
        <w:spacing w:after="0" w:line="240" w:lineRule="auto"/>
        <w:jc w:val="both"/>
        <w:rPr>
          <w:rFonts w:ascii="Bookman Old Style" w:hAnsi="Bookman Old Style"/>
          <w:color w:val="FF0000"/>
          <w:sz w:val="24"/>
          <w:szCs w:val="24"/>
        </w:rPr>
      </w:pPr>
    </w:p>
    <w:p w14:paraId="75BEC871" w14:textId="10F6EA8C" w:rsidR="006942FF" w:rsidRDefault="006942FF" w:rsidP="002003BF">
      <w:pPr>
        <w:pStyle w:val="ListParagraph"/>
        <w:spacing w:after="0" w:line="240" w:lineRule="auto"/>
        <w:ind w:left="709" w:hanging="709"/>
        <w:jc w:val="both"/>
        <w:rPr>
          <w:rFonts w:ascii="Bookman Old Style" w:hAnsi="Bookman Old Style"/>
          <w:color w:val="FF0000"/>
          <w:sz w:val="24"/>
          <w:szCs w:val="24"/>
        </w:rPr>
      </w:pPr>
    </w:p>
    <w:tbl>
      <w:tblPr>
        <w:tblW w:w="9808" w:type="dxa"/>
        <w:tblLook w:val="04A0" w:firstRow="1" w:lastRow="0" w:firstColumn="1" w:lastColumn="0" w:noHBand="0" w:noVBand="1"/>
      </w:tblPr>
      <w:tblGrid>
        <w:gridCol w:w="2967"/>
        <w:gridCol w:w="1313"/>
        <w:gridCol w:w="1380"/>
        <w:gridCol w:w="1418"/>
        <w:gridCol w:w="1417"/>
        <w:gridCol w:w="1313"/>
      </w:tblGrid>
      <w:tr w:rsidR="00721854" w:rsidRPr="00721854" w14:paraId="21D480F5" w14:textId="77777777" w:rsidTr="008D6F5A">
        <w:trPr>
          <w:trHeight w:val="189"/>
        </w:trPr>
        <w:tc>
          <w:tcPr>
            <w:tcW w:w="296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3E93F93" w14:textId="77777777" w:rsidR="00721854" w:rsidRPr="00721854" w:rsidRDefault="00721854" w:rsidP="00721854">
            <w:pPr>
              <w:spacing w:after="0" w:line="240" w:lineRule="auto"/>
              <w:rPr>
                <w:rFonts w:ascii="Calisto MT" w:eastAsia="Times New Roman" w:hAnsi="Calisto MT" w:cs="Calibri"/>
                <w:b/>
                <w:bCs/>
                <w:color w:val="000000"/>
              </w:rPr>
            </w:pPr>
            <w:r>
              <w:rPr>
                <w:rFonts w:ascii="Calisto MT" w:hAnsi="Calisto MT"/>
                <w:b/>
                <w:color w:val="000000"/>
              </w:rPr>
              <w:t>Personnel actuel</w:t>
            </w:r>
          </w:p>
        </w:tc>
        <w:tc>
          <w:tcPr>
            <w:tcW w:w="1313" w:type="dxa"/>
            <w:tcBorders>
              <w:top w:val="single" w:sz="8" w:space="0" w:color="auto"/>
              <w:left w:val="nil"/>
              <w:bottom w:val="nil"/>
              <w:right w:val="single" w:sz="8" w:space="0" w:color="auto"/>
            </w:tcBorders>
            <w:shd w:val="clear" w:color="auto" w:fill="auto"/>
            <w:noWrap/>
            <w:vAlign w:val="bottom"/>
            <w:hideMark/>
          </w:tcPr>
          <w:p w14:paraId="5638DB51"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Année 1</w:t>
            </w:r>
          </w:p>
        </w:tc>
        <w:tc>
          <w:tcPr>
            <w:tcW w:w="1380" w:type="dxa"/>
            <w:tcBorders>
              <w:top w:val="single" w:sz="8" w:space="0" w:color="auto"/>
              <w:left w:val="nil"/>
              <w:bottom w:val="nil"/>
              <w:right w:val="single" w:sz="8" w:space="0" w:color="auto"/>
            </w:tcBorders>
            <w:shd w:val="clear" w:color="auto" w:fill="auto"/>
            <w:noWrap/>
            <w:vAlign w:val="bottom"/>
            <w:hideMark/>
          </w:tcPr>
          <w:p w14:paraId="5E42A870"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Année 2</w:t>
            </w:r>
          </w:p>
        </w:tc>
        <w:tc>
          <w:tcPr>
            <w:tcW w:w="1418" w:type="dxa"/>
            <w:tcBorders>
              <w:top w:val="single" w:sz="8" w:space="0" w:color="auto"/>
              <w:left w:val="nil"/>
              <w:bottom w:val="nil"/>
              <w:right w:val="single" w:sz="8" w:space="0" w:color="auto"/>
            </w:tcBorders>
            <w:shd w:val="clear" w:color="auto" w:fill="auto"/>
            <w:noWrap/>
            <w:vAlign w:val="bottom"/>
            <w:hideMark/>
          </w:tcPr>
          <w:p w14:paraId="3E44ADC0"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Année 3</w:t>
            </w:r>
          </w:p>
        </w:tc>
        <w:tc>
          <w:tcPr>
            <w:tcW w:w="1417" w:type="dxa"/>
            <w:tcBorders>
              <w:top w:val="single" w:sz="8" w:space="0" w:color="auto"/>
              <w:left w:val="nil"/>
              <w:bottom w:val="nil"/>
              <w:right w:val="single" w:sz="8" w:space="0" w:color="auto"/>
            </w:tcBorders>
            <w:shd w:val="clear" w:color="auto" w:fill="auto"/>
            <w:noWrap/>
            <w:vAlign w:val="bottom"/>
            <w:hideMark/>
          </w:tcPr>
          <w:p w14:paraId="6BCA6927"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Année 4</w:t>
            </w:r>
          </w:p>
        </w:tc>
        <w:tc>
          <w:tcPr>
            <w:tcW w:w="1313" w:type="dxa"/>
            <w:tcBorders>
              <w:top w:val="single" w:sz="8" w:space="0" w:color="auto"/>
              <w:left w:val="nil"/>
              <w:bottom w:val="nil"/>
              <w:right w:val="single" w:sz="8" w:space="0" w:color="auto"/>
            </w:tcBorders>
            <w:shd w:val="clear" w:color="auto" w:fill="auto"/>
            <w:noWrap/>
            <w:vAlign w:val="bottom"/>
            <w:hideMark/>
          </w:tcPr>
          <w:p w14:paraId="4F30E52B"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Année 5</w:t>
            </w:r>
          </w:p>
        </w:tc>
      </w:tr>
      <w:tr w:rsidR="00721854" w:rsidRPr="00721854" w14:paraId="72142BD7" w14:textId="77777777" w:rsidTr="008D6F5A">
        <w:trPr>
          <w:trHeight w:val="189"/>
        </w:trPr>
        <w:tc>
          <w:tcPr>
            <w:tcW w:w="2967" w:type="dxa"/>
            <w:tcBorders>
              <w:top w:val="nil"/>
              <w:left w:val="single" w:sz="8" w:space="0" w:color="auto"/>
              <w:bottom w:val="single" w:sz="4" w:space="0" w:color="auto"/>
              <w:right w:val="single" w:sz="8" w:space="0" w:color="auto"/>
            </w:tcBorders>
            <w:shd w:val="clear" w:color="auto" w:fill="auto"/>
            <w:noWrap/>
            <w:vAlign w:val="bottom"/>
            <w:hideMark/>
          </w:tcPr>
          <w:p w14:paraId="706404C7" w14:textId="77777777" w:rsidR="00721854" w:rsidRPr="00721854" w:rsidRDefault="00721854" w:rsidP="00721854">
            <w:pPr>
              <w:spacing w:after="0" w:line="240" w:lineRule="auto"/>
              <w:rPr>
                <w:rFonts w:ascii="Calisto MT" w:eastAsia="Times New Roman" w:hAnsi="Calisto MT" w:cs="Calibri"/>
                <w:b/>
                <w:bCs/>
                <w:color w:val="000000"/>
              </w:rPr>
            </w:pPr>
            <w:r>
              <w:rPr>
                <w:rFonts w:ascii="Calisto MT" w:hAnsi="Calisto MT"/>
                <w:b/>
                <w:color w:val="000000"/>
              </w:rPr>
              <w:t> </w:t>
            </w:r>
          </w:p>
        </w:tc>
        <w:tc>
          <w:tcPr>
            <w:tcW w:w="1313" w:type="dxa"/>
            <w:tcBorders>
              <w:top w:val="nil"/>
              <w:left w:val="nil"/>
              <w:bottom w:val="single" w:sz="4" w:space="0" w:color="auto"/>
              <w:right w:val="single" w:sz="8" w:space="0" w:color="auto"/>
            </w:tcBorders>
            <w:shd w:val="clear" w:color="auto" w:fill="auto"/>
            <w:noWrap/>
            <w:vAlign w:val="bottom"/>
            <w:hideMark/>
          </w:tcPr>
          <w:p w14:paraId="481834F6"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.2023/2024</w:t>
            </w:r>
          </w:p>
        </w:tc>
        <w:tc>
          <w:tcPr>
            <w:tcW w:w="1380" w:type="dxa"/>
            <w:tcBorders>
              <w:top w:val="nil"/>
              <w:left w:val="nil"/>
              <w:bottom w:val="single" w:sz="4" w:space="0" w:color="auto"/>
              <w:right w:val="single" w:sz="8" w:space="0" w:color="auto"/>
            </w:tcBorders>
            <w:shd w:val="clear" w:color="auto" w:fill="auto"/>
            <w:noWrap/>
            <w:vAlign w:val="bottom"/>
            <w:hideMark/>
          </w:tcPr>
          <w:p w14:paraId="63B4A625"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.2024,2025</w:t>
            </w:r>
          </w:p>
        </w:tc>
        <w:tc>
          <w:tcPr>
            <w:tcW w:w="1418" w:type="dxa"/>
            <w:tcBorders>
              <w:top w:val="nil"/>
              <w:left w:val="nil"/>
              <w:bottom w:val="single" w:sz="4" w:space="0" w:color="auto"/>
              <w:right w:val="single" w:sz="8" w:space="0" w:color="auto"/>
            </w:tcBorders>
            <w:shd w:val="clear" w:color="auto" w:fill="auto"/>
            <w:noWrap/>
            <w:vAlign w:val="bottom"/>
            <w:hideMark/>
          </w:tcPr>
          <w:p w14:paraId="2456BF0C"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.2025/2026</w:t>
            </w:r>
          </w:p>
        </w:tc>
        <w:tc>
          <w:tcPr>
            <w:tcW w:w="1417" w:type="dxa"/>
            <w:tcBorders>
              <w:top w:val="nil"/>
              <w:left w:val="nil"/>
              <w:bottom w:val="single" w:sz="4" w:space="0" w:color="auto"/>
              <w:right w:val="single" w:sz="8" w:space="0" w:color="auto"/>
            </w:tcBorders>
            <w:shd w:val="clear" w:color="auto" w:fill="auto"/>
            <w:noWrap/>
            <w:vAlign w:val="bottom"/>
            <w:hideMark/>
          </w:tcPr>
          <w:p w14:paraId="2EEBEE86"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.2026/2027</w:t>
            </w:r>
          </w:p>
        </w:tc>
        <w:tc>
          <w:tcPr>
            <w:tcW w:w="1313" w:type="dxa"/>
            <w:tcBorders>
              <w:top w:val="nil"/>
              <w:left w:val="nil"/>
              <w:bottom w:val="single" w:sz="4" w:space="0" w:color="auto"/>
              <w:right w:val="single" w:sz="8" w:space="0" w:color="auto"/>
            </w:tcBorders>
            <w:shd w:val="clear" w:color="auto" w:fill="auto"/>
            <w:noWrap/>
            <w:vAlign w:val="bottom"/>
            <w:hideMark/>
          </w:tcPr>
          <w:p w14:paraId="2C2A693E"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.2027/2028</w:t>
            </w:r>
          </w:p>
        </w:tc>
      </w:tr>
      <w:tr w:rsidR="00721854" w:rsidRPr="00721854" w14:paraId="059DC169" w14:textId="77777777" w:rsidTr="008D6F5A">
        <w:trPr>
          <w:trHeight w:val="189"/>
        </w:trPr>
        <w:tc>
          <w:tcPr>
            <w:tcW w:w="2967" w:type="dxa"/>
            <w:tcBorders>
              <w:top w:val="nil"/>
              <w:left w:val="single" w:sz="8" w:space="0" w:color="auto"/>
              <w:bottom w:val="nil"/>
              <w:right w:val="single" w:sz="8" w:space="0" w:color="auto"/>
            </w:tcBorders>
            <w:shd w:val="clear" w:color="auto" w:fill="auto"/>
            <w:noWrap/>
            <w:vAlign w:val="bottom"/>
            <w:hideMark/>
          </w:tcPr>
          <w:p w14:paraId="0AE2B96A" w14:textId="77777777" w:rsidR="00721854" w:rsidRPr="00721854" w:rsidRDefault="00721854" w:rsidP="00721854">
            <w:pPr>
              <w:spacing w:after="0" w:line="240" w:lineRule="auto"/>
              <w:rPr>
                <w:rFonts w:ascii="Calibri" w:eastAsia="Times New Roman" w:hAnsi="Calibri" w:cs="Calibri"/>
                <w:color w:val="000000"/>
              </w:rPr>
            </w:pPr>
            <w:r>
              <w:rPr>
                <w:rFonts w:ascii="Calibri" w:hAnsi="Calibri"/>
                <w:color w:val="000000"/>
              </w:rPr>
              <w:t> </w:t>
            </w:r>
          </w:p>
        </w:tc>
        <w:tc>
          <w:tcPr>
            <w:tcW w:w="1313" w:type="dxa"/>
            <w:tcBorders>
              <w:top w:val="nil"/>
              <w:left w:val="nil"/>
              <w:bottom w:val="single" w:sz="4" w:space="0" w:color="auto"/>
              <w:right w:val="single" w:sz="8" w:space="0" w:color="auto"/>
            </w:tcBorders>
            <w:shd w:val="clear" w:color="auto" w:fill="auto"/>
            <w:noWrap/>
            <w:vAlign w:val="bottom"/>
            <w:hideMark/>
          </w:tcPr>
          <w:p w14:paraId="36EFD6F9"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17037848 </w:t>
            </w:r>
          </w:p>
        </w:tc>
        <w:tc>
          <w:tcPr>
            <w:tcW w:w="1380" w:type="dxa"/>
            <w:tcBorders>
              <w:top w:val="nil"/>
              <w:left w:val="nil"/>
              <w:bottom w:val="single" w:sz="4" w:space="0" w:color="auto"/>
              <w:right w:val="single" w:sz="8" w:space="0" w:color="auto"/>
            </w:tcBorders>
            <w:shd w:val="clear" w:color="auto" w:fill="auto"/>
            <w:noWrap/>
            <w:vAlign w:val="bottom"/>
            <w:hideMark/>
          </w:tcPr>
          <w:p w14:paraId="2A16E287"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18230498 </w:t>
            </w:r>
          </w:p>
        </w:tc>
        <w:tc>
          <w:tcPr>
            <w:tcW w:w="1418" w:type="dxa"/>
            <w:tcBorders>
              <w:top w:val="nil"/>
              <w:left w:val="nil"/>
              <w:bottom w:val="single" w:sz="4" w:space="0" w:color="auto"/>
              <w:right w:val="single" w:sz="8" w:space="0" w:color="auto"/>
            </w:tcBorders>
            <w:shd w:val="clear" w:color="auto" w:fill="auto"/>
            <w:noWrap/>
            <w:vAlign w:val="bottom"/>
            <w:hideMark/>
          </w:tcPr>
          <w:p w14:paraId="4AFD273D"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19506633 </w:t>
            </w:r>
          </w:p>
        </w:tc>
        <w:tc>
          <w:tcPr>
            <w:tcW w:w="1417" w:type="dxa"/>
            <w:tcBorders>
              <w:top w:val="nil"/>
              <w:left w:val="nil"/>
              <w:bottom w:val="single" w:sz="4" w:space="0" w:color="auto"/>
              <w:right w:val="single" w:sz="8" w:space="0" w:color="auto"/>
            </w:tcBorders>
            <w:shd w:val="clear" w:color="auto" w:fill="auto"/>
            <w:noWrap/>
            <w:vAlign w:val="bottom"/>
            <w:hideMark/>
          </w:tcPr>
          <w:p w14:paraId="6CD732F6"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20872097 </w:t>
            </w:r>
          </w:p>
        </w:tc>
        <w:tc>
          <w:tcPr>
            <w:tcW w:w="1313" w:type="dxa"/>
            <w:tcBorders>
              <w:top w:val="nil"/>
              <w:left w:val="nil"/>
              <w:bottom w:val="single" w:sz="4" w:space="0" w:color="auto"/>
              <w:right w:val="single" w:sz="8" w:space="0" w:color="auto"/>
            </w:tcBorders>
            <w:shd w:val="clear" w:color="auto" w:fill="auto"/>
            <w:noWrap/>
            <w:vAlign w:val="bottom"/>
            <w:hideMark/>
          </w:tcPr>
          <w:p w14:paraId="16CB0579"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22333144 </w:t>
            </w:r>
          </w:p>
        </w:tc>
      </w:tr>
      <w:tr w:rsidR="00721854" w:rsidRPr="00721854" w14:paraId="02C641E8" w14:textId="77777777" w:rsidTr="008D6F5A">
        <w:trPr>
          <w:trHeight w:val="189"/>
        </w:trPr>
        <w:tc>
          <w:tcPr>
            <w:tcW w:w="2967" w:type="dxa"/>
            <w:tcBorders>
              <w:top w:val="nil"/>
              <w:left w:val="single" w:sz="8" w:space="0" w:color="auto"/>
              <w:bottom w:val="single" w:sz="4" w:space="0" w:color="auto"/>
              <w:right w:val="single" w:sz="8" w:space="0" w:color="auto"/>
            </w:tcBorders>
            <w:shd w:val="clear" w:color="000000" w:fill="FFFF00"/>
            <w:noWrap/>
            <w:vAlign w:val="bottom"/>
            <w:hideMark/>
          </w:tcPr>
          <w:p w14:paraId="10119371" w14:textId="77777777" w:rsidR="00721854" w:rsidRPr="00721854" w:rsidRDefault="00721854" w:rsidP="00721854">
            <w:pPr>
              <w:spacing w:after="0" w:line="240" w:lineRule="auto"/>
              <w:rPr>
                <w:rFonts w:ascii="Calisto MT" w:eastAsia="Times New Roman" w:hAnsi="Calisto MT" w:cs="Calibri"/>
                <w:b/>
                <w:bCs/>
                <w:color w:val="000000"/>
              </w:rPr>
            </w:pPr>
            <w:r>
              <w:rPr>
                <w:rFonts w:ascii="Calisto MT" w:hAnsi="Calisto MT"/>
                <w:b/>
                <w:color w:val="000000"/>
              </w:rPr>
              <w:t>TOTAL DE LA CHARGE SALARIALE</w:t>
            </w:r>
          </w:p>
        </w:tc>
        <w:tc>
          <w:tcPr>
            <w:tcW w:w="1313" w:type="dxa"/>
            <w:tcBorders>
              <w:top w:val="nil"/>
              <w:left w:val="nil"/>
              <w:bottom w:val="single" w:sz="4" w:space="0" w:color="auto"/>
              <w:right w:val="single" w:sz="8" w:space="0" w:color="auto"/>
            </w:tcBorders>
            <w:shd w:val="clear" w:color="000000" w:fill="FFFF00"/>
            <w:noWrap/>
            <w:vAlign w:val="bottom"/>
            <w:hideMark/>
          </w:tcPr>
          <w:p w14:paraId="0D5215AB"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17037848 </w:t>
            </w:r>
          </w:p>
        </w:tc>
        <w:tc>
          <w:tcPr>
            <w:tcW w:w="1380" w:type="dxa"/>
            <w:tcBorders>
              <w:top w:val="nil"/>
              <w:left w:val="nil"/>
              <w:bottom w:val="single" w:sz="4" w:space="0" w:color="auto"/>
              <w:right w:val="single" w:sz="8" w:space="0" w:color="auto"/>
            </w:tcBorders>
            <w:shd w:val="clear" w:color="000000" w:fill="FFFF00"/>
            <w:noWrap/>
            <w:vAlign w:val="bottom"/>
            <w:hideMark/>
          </w:tcPr>
          <w:p w14:paraId="2115FCC4"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18230498 </w:t>
            </w:r>
          </w:p>
        </w:tc>
        <w:tc>
          <w:tcPr>
            <w:tcW w:w="1418" w:type="dxa"/>
            <w:tcBorders>
              <w:top w:val="nil"/>
              <w:left w:val="nil"/>
              <w:bottom w:val="single" w:sz="4" w:space="0" w:color="auto"/>
              <w:right w:val="single" w:sz="8" w:space="0" w:color="auto"/>
            </w:tcBorders>
            <w:shd w:val="clear" w:color="000000" w:fill="FFFF00"/>
            <w:noWrap/>
            <w:vAlign w:val="bottom"/>
            <w:hideMark/>
          </w:tcPr>
          <w:p w14:paraId="638EB528"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19506633 </w:t>
            </w:r>
          </w:p>
        </w:tc>
        <w:tc>
          <w:tcPr>
            <w:tcW w:w="1417" w:type="dxa"/>
            <w:tcBorders>
              <w:top w:val="nil"/>
              <w:left w:val="nil"/>
              <w:bottom w:val="single" w:sz="4" w:space="0" w:color="auto"/>
              <w:right w:val="single" w:sz="8" w:space="0" w:color="auto"/>
            </w:tcBorders>
            <w:shd w:val="clear" w:color="000000" w:fill="FFFF00"/>
            <w:noWrap/>
            <w:vAlign w:val="bottom"/>
            <w:hideMark/>
          </w:tcPr>
          <w:p w14:paraId="74C8A415"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20872097 </w:t>
            </w:r>
          </w:p>
        </w:tc>
        <w:tc>
          <w:tcPr>
            <w:tcW w:w="1313" w:type="dxa"/>
            <w:tcBorders>
              <w:top w:val="nil"/>
              <w:left w:val="nil"/>
              <w:bottom w:val="single" w:sz="4" w:space="0" w:color="auto"/>
              <w:right w:val="single" w:sz="8" w:space="0" w:color="auto"/>
            </w:tcBorders>
            <w:shd w:val="clear" w:color="000000" w:fill="FFFF00"/>
            <w:noWrap/>
            <w:vAlign w:val="bottom"/>
            <w:hideMark/>
          </w:tcPr>
          <w:p w14:paraId="504BB0B0"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22333144 </w:t>
            </w:r>
          </w:p>
        </w:tc>
      </w:tr>
      <w:tr w:rsidR="00721854" w:rsidRPr="00721854" w14:paraId="49C3CA6B" w14:textId="77777777" w:rsidTr="008D6F5A">
        <w:trPr>
          <w:trHeight w:val="197"/>
        </w:trPr>
        <w:tc>
          <w:tcPr>
            <w:tcW w:w="2967" w:type="dxa"/>
            <w:tcBorders>
              <w:top w:val="nil"/>
              <w:left w:val="single" w:sz="8" w:space="0" w:color="auto"/>
              <w:bottom w:val="single" w:sz="8" w:space="0" w:color="auto"/>
              <w:right w:val="single" w:sz="8" w:space="0" w:color="auto"/>
            </w:tcBorders>
            <w:shd w:val="clear" w:color="000000" w:fill="C4D79B"/>
            <w:noWrap/>
            <w:vAlign w:val="bottom"/>
            <w:hideMark/>
          </w:tcPr>
          <w:p w14:paraId="0ADB1F53"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Salaires en % du total des contributions des membres</w:t>
            </w:r>
          </w:p>
        </w:tc>
        <w:tc>
          <w:tcPr>
            <w:tcW w:w="1313" w:type="dxa"/>
            <w:tcBorders>
              <w:top w:val="nil"/>
              <w:left w:val="nil"/>
              <w:bottom w:val="single" w:sz="8" w:space="0" w:color="auto"/>
              <w:right w:val="single" w:sz="8" w:space="0" w:color="auto"/>
            </w:tcBorders>
            <w:shd w:val="clear" w:color="000000" w:fill="C4D79B"/>
            <w:noWrap/>
            <w:vAlign w:val="bottom"/>
            <w:hideMark/>
          </w:tcPr>
          <w:p w14:paraId="134D75EB"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81%</w:t>
            </w:r>
          </w:p>
        </w:tc>
        <w:tc>
          <w:tcPr>
            <w:tcW w:w="1380" w:type="dxa"/>
            <w:tcBorders>
              <w:top w:val="nil"/>
              <w:left w:val="nil"/>
              <w:bottom w:val="single" w:sz="8" w:space="0" w:color="auto"/>
              <w:right w:val="single" w:sz="8" w:space="0" w:color="auto"/>
            </w:tcBorders>
            <w:shd w:val="clear" w:color="000000" w:fill="C4D79B"/>
            <w:noWrap/>
            <w:vAlign w:val="bottom"/>
            <w:hideMark/>
          </w:tcPr>
          <w:p w14:paraId="1DB17CC6"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86%</w:t>
            </w:r>
          </w:p>
        </w:tc>
        <w:tc>
          <w:tcPr>
            <w:tcW w:w="1418" w:type="dxa"/>
            <w:tcBorders>
              <w:top w:val="nil"/>
              <w:left w:val="nil"/>
              <w:bottom w:val="single" w:sz="8" w:space="0" w:color="auto"/>
              <w:right w:val="single" w:sz="8" w:space="0" w:color="auto"/>
            </w:tcBorders>
            <w:shd w:val="clear" w:color="000000" w:fill="C4D79B"/>
            <w:noWrap/>
            <w:vAlign w:val="bottom"/>
            <w:hideMark/>
          </w:tcPr>
          <w:p w14:paraId="3D0C7C4D"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92%</w:t>
            </w:r>
          </w:p>
        </w:tc>
        <w:tc>
          <w:tcPr>
            <w:tcW w:w="1417" w:type="dxa"/>
            <w:tcBorders>
              <w:top w:val="nil"/>
              <w:left w:val="nil"/>
              <w:bottom w:val="single" w:sz="8" w:space="0" w:color="auto"/>
              <w:right w:val="single" w:sz="8" w:space="0" w:color="auto"/>
            </w:tcBorders>
            <w:shd w:val="clear" w:color="000000" w:fill="C4D79B"/>
            <w:noWrap/>
            <w:vAlign w:val="bottom"/>
            <w:hideMark/>
          </w:tcPr>
          <w:p w14:paraId="2309794B"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99%</w:t>
            </w:r>
          </w:p>
        </w:tc>
        <w:tc>
          <w:tcPr>
            <w:tcW w:w="1313" w:type="dxa"/>
            <w:tcBorders>
              <w:top w:val="nil"/>
              <w:left w:val="nil"/>
              <w:bottom w:val="single" w:sz="8" w:space="0" w:color="auto"/>
              <w:right w:val="single" w:sz="8" w:space="0" w:color="auto"/>
            </w:tcBorders>
            <w:shd w:val="clear" w:color="000000" w:fill="C4D79B"/>
            <w:noWrap/>
            <w:vAlign w:val="bottom"/>
            <w:hideMark/>
          </w:tcPr>
          <w:p w14:paraId="3D7EEFD6" w14:textId="77777777" w:rsidR="00721854" w:rsidRPr="00721854" w:rsidRDefault="00721854" w:rsidP="00721854">
            <w:pPr>
              <w:spacing w:after="0" w:line="240" w:lineRule="auto"/>
              <w:jc w:val="right"/>
              <w:rPr>
                <w:rFonts w:ascii="Bookman Old Style" w:eastAsia="Times New Roman" w:hAnsi="Bookman Old Style" w:cs="Calibri"/>
                <w:b/>
                <w:bCs/>
              </w:rPr>
            </w:pPr>
            <w:r>
              <w:rPr>
                <w:rFonts w:ascii="Bookman Old Style" w:hAnsi="Bookman Old Style"/>
                <w:b/>
              </w:rPr>
              <w:t>106%</w:t>
            </w:r>
          </w:p>
        </w:tc>
      </w:tr>
    </w:tbl>
    <w:p w14:paraId="6C5359CE" w14:textId="3AF06D3C" w:rsidR="006942FF" w:rsidRDefault="006942FF" w:rsidP="002003BF">
      <w:pPr>
        <w:pStyle w:val="ListParagraph"/>
        <w:spacing w:after="0" w:line="240" w:lineRule="auto"/>
        <w:ind w:left="709" w:hanging="709"/>
        <w:jc w:val="both"/>
        <w:rPr>
          <w:rFonts w:ascii="Bookman Old Style" w:hAnsi="Bookman Old Style"/>
          <w:color w:val="FF0000"/>
          <w:sz w:val="24"/>
          <w:szCs w:val="24"/>
        </w:rPr>
      </w:pPr>
    </w:p>
    <w:p w14:paraId="5780C134" w14:textId="77777777" w:rsidR="00BB269E" w:rsidRPr="008040EC" w:rsidRDefault="00BB269E" w:rsidP="002003BF">
      <w:pPr>
        <w:pStyle w:val="ListParagraph"/>
        <w:spacing w:after="0" w:line="240" w:lineRule="auto"/>
        <w:ind w:left="709" w:hanging="709"/>
        <w:jc w:val="both"/>
        <w:rPr>
          <w:rFonts w:ascii="Bookman Old Style" w:hAnsi="Bookman Old Style"/>
          <w:color w:val="FF0000"/>
          <w:sz w:val="24"/>
          <w:szCs w:val="24"/>
        </w:rPr>
      </w:pPr>
    </w:p>
    <w:p w14:paraId="03CC2F0A" w14:textId="0D785CCF" w:rsidR="004D35C5" w:rsidRPr="004D35C5" w:rsidRDefault="00A7077D" w:rsidP="009B2C35">
      <w:pPr>
        <w:pStyle w:val="ListParagraph"/>
        <w:keepNext/>
        <w:keepLines/>
        <w:numPr>
          <w:ilvl w:val="1"/>
          <w:numId w:val="33"/>
        </w:numPr>
        <w:spacing w:after="0" w:line="240" w:lineRule="auto"/>
        <w:ind w:left="709" w:hanging="709"/>
        <w:rPr>
          <w:rFonts w:ascii="Bookman Old Style" w:hAnsi="Bookman Old Style"/>
          <w:b/>
          <w:bCs/>
          <w:sz w:val="24"/>
          <w:szCs w:val="24"/>
        </w:rPr>
      </w:pPr>
      <w:r>
        <w:rPr>
          <w:rFonts w:ascii="Bookman Old Style" w:hAnsi="Bookman Old Style"/>
          <w:b/>
          <w:sz w:val="24"/>
        </w:rPr>
        <w:t>Frais administratifs généraux : N$ 3897615</w:t>
      </w:r>
      <w:r>
        <w:rPr>
          <w:rFonts w:ascii="Bookman Old Style" w:hAnsi="Bookman Old Style"/>
          <w:b/>
          <w:color w:val="FF0000"/>
          <w:sz w:val="24"/>
        </w:rPr>
        <w:t xml:space="preserve"> </w:t>
      </w:r>
    </w:p>
    <w:p w14:paraId="3585B99C" w14:textId="50D5CE41" w:rsidR="00A7077D" w:rsidRPr="008040EC" w:rsidRDefault="00A7077D" w:rsidP="009B2C35">
      <w:pPr>
        <w:pStyle w:val="ListParagraph"/>
        <w:keepNext/>
        <w:keepLines/>
        <w:spacing w:after="0" w:line="240" w:lineRule="auto"/>
        <w:ind w:left="709"/>
        <w:jc w:val="both"/>
        <w:rPr>
          <w:rFonts w:ascii="Bookman Old Style" w:hAnsi="Bookman Old Style"/>
          <w:b/>
          <w:sz w:val="24"/>
          <w:szCs w:val="24"/>
        </w:rPr>
      </w:pPr>
    </w:p>
    <w:p w14:paraId="1E5647D1" w14:textId="35C83DEB" w:rsidR="001553EA" w:rsidRPr="00FE73C4" w:rsidRDefault="00464AC7" w:rsidP="009B2C35">
      <w:pPr>
        <w:pStyle w:val="ListParagraph"/>
        <w:keepNext/>
        <w:keepLines/>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 budget prévoit des frais généraux administratifs de N$ 3 897 615, contre N$ 2 705 558 dans le budget de l'année précédente, soit une augmentation de 44 %. </w:t>
      </w:r>
    </w:p>
    <w:p w14:paraId="08B1CF1A" w14:textId="77777777" w:rsidR="002003BF" w:rsidRPr="008040EC" w:rsidRDefault="002003BF" w:rsidP="002003BF">
      <w:pPr>
        <w:pStyle w:val="ListParagraph"/>
        <w:spacing w:after="0" w:line="240" w:lineRule="auto"/>
        <w:ind w:left="709"/>
        <w:jc w:val="both"/>
        <w:rPr>
          <w:rFonts w:ascii="Bookman Old Style" w:hAnsi="Bookman Old Style"/>
          <w:sz w:val="24"/>
          <w:szCs w:val="24"/>
        </w:rPr>
      </w:pPr>
    </w:p>
    <w:p w14:paraId="0198FEBB" w14:textId="7D32930A" w:rsidR="004C5197" w:rsidRPr="008040EC" w:rsidRDefault="001553EA"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Les frais généraux administratifs sont destinés au fonctionnement du Secrétariat et comprennent les frais généraux de bureau, les frais de communication, les frais de fonctionnement des véhicules à moteur, les frais de voyage et les indemnités de subsistance, les frais d'audit et d'assurance. </w:t>
      </w:r>
    </w:p>
    <w:p w14:paraId="183FEABC" w14:textId="77777777" w:rsidR="002003BF" w:rsidRPr="008040EC" w:rsidRDefault="002003BF" w:rsidP="002003BF">
      <w:pPr>
        <w:spacing w:after="0" w:line="240" w:lineRule="auto"/>
        <w:jc w:val="both"/>
        <w:rPr>
          <w:rFonts w:ascii="Bookman Old Style" w:hAnsi="Bookman Old Style"/>
          <w:sz w:val="24"/>
          <w:szCs w:val="24"/>
        </w:rPr>
      </w:pPr>
    </w:p>
    <w:p w14:paraId="5638E020" w14:textId="01DAD8DA" w:rsidR="00B73DD3" w:rsidRDefault="00A7077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L'augmentation significative de ce budget proposé de N$ 1,19 million est due à l'ajout de coûts relatifs au renforcement des systèmes, procédures et processus clés tels que l'automatisation du système de gestion des RH et des performances et l'évaluation comparative avec l'UIP. Il y a également une augmentation des frais de réinstallation et des frais de recrutement. Il s'agit de coûts ponctuels qui peuvent être réduits dans le prochain budget. </w:t>
      </w:r>
    </w:p>
    <w:p w14:paraId="5EFB0A42" w14:textId="77777777" w:rsidR="00B73DD3" w:rsidRPr="00B73DD3" w:rsidRDefault="00B73DD3" w:rsidP="00B73DD3">
      <w:pPr>
        <w:pStyle w:val="ListParagraph"/>
        <w:rPr>
          <w:rFonts w:ascii="Bookman Old Style" w:hAnsi="Bookman Old Style"/>
          <w:sz w:val="24"/>
          <w:szCs w:val="24"/>
        </w:rPr>
      </w:pPr>
    </w:p>
    <w:p w14:paraId="6C9A2D18" w14:textId="72128B21" w:rsidR="002003BF" w:rsidRDefault="00E85A29"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L'allocation des honoraires d'audit passe de N$ 150 000 à N$ 303 000, soit une augmentation de N$ 153 000 (102 %), car une provision a été constituée pour le détachement d'un auditeur interne à 500 dollars par mois. En outre, les honoraires d'audit externe sont portés à N$ 195 000 sur la base des honoraires facturés pour l'exercice clos le 31 mars 2022. </w:t>
      </w:r>
    </w:p>
    <w:p w14:paraId="0C4C693F" w14:textId="77777777" w:rsidR="003B770D" w:rsidRPr="003B770D" w:rsidRDefault="003B770D" w:rsidP="003B770D">
      <w:pPr>
        <w:pStyle w:val="ListParagraph"/>
        <w:rPr>
          <w:rFonts w:ascii="Bookman Old Style" w:hAnsi="Bookman Old Style"/>
          <w:sz w:val="24"/>
          <w:szCs w:val="24"/>
        </w:rPr>
      </w:pPr>
    </w:p>
    <w:p w14:paraId="002D5230" w14:textId="1E516BE0" w:rsidR="00E37552" w:rsidRDefault="003B770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lastRenderedPageBreak/>
        <w:t>Les frais financiers ont également augmenté considérablement de N$ 266 178 (67%), passant de N$ 396 000 à N$ 662 178, sur la base des intérêts réels facturés pour les prêts hypothécaires et les prêts pour véhicules à moteur.</w:t>
      </w:r>
    </w:p>
    <w:p w14:paraId="4C7053D1" w14:textId="0571F76A" w:rsidR="003B770D" w:rsidRDefault="003B770D" w:rsidP="00BB3632">
      <w:pPr>
        <w:pStyle w:val="ListParagraph"/>
        <w:spacing w:after="0" w:line="240" w:lineRule="auto"/>
        <w:ind w:left="709"/>
        <w:jc w:val="both"/>
        <w:rPr>
          <w:rFonts w:ascii="Bookman Old Style" w:hAnsi="Bookman Old Style"/>
          <w:sz w:val="24"/>
          <w:szCs w:val="24"/>
        </w:rPr>
      </w:pPr>
    </w:p>
    <w:p w14:paraId="6F0C65A6" w14:textId="23CCCB0D" w:rsidR="00A7077D" w:rsidRPr="00B61E56" w:rsidRDefault="00230D08" w:rsidP="00E111F6">
      <w:pPr>
        <w:pStyle w:val="ListParagraph"/>
        <w:numPr>
          <w:ilvl w:val="1"/>
          <w:numId w:val="33"/>
        </w:numPr>
        <w:spacing w:after="0" w:line="240" w:lineRule="auto"/>
        <w:ind w:left="709" w:hanging="709"/>
        <w:jc w:val="both"/>
        <w:rPr>
          <w:rFonts w:ascii="Bookman Old Style" w:hAnsi="Bookman Old Style"/>
          <w:sz w:val="24"/>
          <w:szCs w:val="24"/>
        </w:rPr>
      </w:pPr>
      <w:r>
        <w:rPr>
          <w:rFonts w:ascii="Bookman Old Style" w:hAnsi="Bookman Old Style"/>
          <w:b/>
          <w:sz w:val="24"/>
        </w:rPr>
        <w:t>Dépenses opérationnelles directes : N$ 6 460 200</w:t>
      </w:r>
    </w:p>
    <w:p w14:paraId="49A4714A" w14:textId="77777777" w:rsidR="00601708" w:rsidRPr="00B61E56" w:rsidRDefault="00601708" w:rsidP="002003BF">
      <w:pPr>
        <w:pStyle w:val="ListParagraph"/>
        <w:spacing w:after="0" w:line="240" w:lineRule="auto"/>
        <w:ind w:left="709" w:hanging="709"/>
        <w:jc w:val="both"/>
        <w:rPr>
          <w:rFonts w:ascii="Bookman Old Style" w:hAnsi="Bookman Old Style"/>
          <w:sz w:val="24"/>
          <w:szCs w:val="24"/>
        </w:rPr>
      </w:pPr>
    </w:p>
    <w:p w14:paraId="481FA1D7" w14:textId="4C17728C" w:rsidR="0015582D" w:rsidRPr="00B61E56" w:rsidRDefault="0015582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Les dépenses opérationnelles directes représentent les activités principales du Forum et comprennent les réunions statutaires.</w:t>
      </w:r>
    </w:p>
    <w:p w14:paraId="3A92419F" w14:textId="77777777" w:rsidR="002003BF" w:rsidRPr="00B61E56" w:rsidRDefault="002003BF" w:rsidP="002003BF">
      <w:pPr>
        <w:pStyle w:val="ListParagraph"/>
        <w:spacing w:after="0" w:line="240" w:lineRule="auto"/>
        <w:ind w:left="709"/>
        <w:jc w:val="both"/>
        <w:rPr>
          <w:rFonts w:ascii="Bookman Old Style" w:hAnsi="Bookman Old Style"/>
          <w:sz w:val="24"/>
          <w:szCs w:val="24"/>
        </w:rPr>
      </w:pPr>
    </w:p>
    <w:p w14:paraId="4B2218FC" w14:textId="3CBC40ED" w:rsidR="00D1613A" w:rsidRPr="00B61E56" w:rsidRDefault="0015582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Le budget total a augmenté de N$ 2 158 600, passant de N$ 4 301 600 en 2022/2023 à N$ 6 460 200, soit une augmentation de 50 %. La principale augmentation du budget est due au fait qu'il est proposé de tenir les 53</w:t>
      </w:r>
      <w:r>
        <w:rPr>
          <w:rFonts w:ascii="Bookman Old Style" w:hAnsi="Bookman Old Style"/>
          <w:sz w:val="24"/>
          <w:vertAlign w:val="superscript"/>
        </w:rPr>
        <w:t>e</w:t>
      </w:r>
      <w:r>
        <w:rPr>
          <w:rFonts w:ascii="Bookman Old Style" w:hAnsi="Bookman Old Style"/>
          <w:sz w:val="24"/>
        </w:rPr>
        <w:t xml:space="preserve"> et 54</w:t>
      </w:r>
      <w:r>
        <w:rPr>
          <w:rFonts w:ascii="Bookman Old Style" w:hAnsi="Bookman Old Style"/>
          <w:sz w:val="24"/>
          <w:vertAlign w:val="superscript"/>
        </w:rPr>
        <w:t>e</w:t>
      </w:r>
      <w:r>
        <w:rPr>
          <w:rFonts w:ascii="Bookman Old Style" w:hAnsi="Bookman Old Style"/>
          <w:sz w:val="24"/>
        </w:rPr>
        <w:t xml:space="preserve"> assemblées plénières en face à face. En outre, deux réunions du comité exécutif se tiendront en face à face, les autres se déroulant de manière virtuelle. Toutes les réunions des sous-comités du Comité exécutif, les réunions du Comité permanent et les réunions statutaires des autres organes seront tenues virtuellement. Toutes les réunions des sous-comités du Comité exécutif, les réunions du Comité permanent et les réunions statutaires des autres organes seront tenues virtuellement.</w:t>
      </w:r>
    </w:p>
    <w:p w14:paraId="1748A622" w14:textId="422BA1A5" w:rsidR="007E60AB" w:rsidRPr="00B61E56" w:rsidRDefault="007E60AB" w:rsidP="007F3FF5">
      <w:pPr>
        <w:pStyle w:val="ListParagraph"/>
        <w:spacing w:after="0" w:line="240" w:lineRule="auto"/>
        <w:ind w:left="709"/>
        <w:jc w:val="both"/>
        <w:rPr>
          <w:rFonts w:ascii="Bookman Old Style" w:hAnsi="Bookman Old Style"/>
          <w:sz w:val="24"/>
          <w:szCs w:val="24"/>
        </w:rPr>
      </w:pPr>
    </w:p>
    <w:p w14:paraId="6648638C" w14:textId="02F8A117" w:rsidR="00F24930" w:rsidRPr="00B61E56" w:rsidRDefault="007E60AB" w:rsidP="007F3FF5">
      <w:pPr>
        <w:pStyle w:val="ListParagraph"/>
        <w:spacing w:after="0" w:line="240" w:lineRule="auto"/>
        <w:ind w:left="709"/>
        <w:jc w:val="both"/>
        <w:rPr>
          <w:rFonts w:ascii="Bookman Old Style" w:hAnsi="Bookman Old Style"/>
          <w:sz w:val="24"/>
          <w:szCs w:val="24"/>
        </w:rPr>
      </w:pPr>
      <w:r>
        <w:rPr>
          <w:rFonts w:ascii="Bookman Old Style" w:hAnsi="Bookman Old Style"/>
          <w:sz w:val="24"/>
        </w:rPr>
        <w:t>Compte tenu de ce qui précède :</w:t>
      </w:r>
    </w:p>
    <w:p w14:paraId="31247F6F" w14:textId="65544C32" w:rsidR="002003BF" w:rsidRPr="00B61E56" w:rsidRDefault="007E60AB"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 budget de l'Assemblée plénière a été augmenté de 42 %, passant de N$ 2.164.600 à N$ 3.068.000. </w:t>
      </w:r>
    </w:p>
    <w:p w14:paraId="7B235EA5" w14:textId="77777777" w:rsidR="003D1BA3" w:rsidRPr="00B61E56" w:rsidRDefault="003D1BA3" w:rsidP="003D1BA3">
      <w:pPr>
        <w:spacing w:after="0" w:line="240" w:lineRule="auto"/>
        <w:jc w:val="both"/>
        <w:rPr>
          <w:rFonts w:ascii="Bookman Old Style" w:hAnsi="Bookman Old Style"/>
          <w:sz w:val="24"/>
          <w:szCs w:val="24"/>
        </w:rPr>
      </w:pPr>
    </w:p>
    <w:p w14:paraId="38CA97F5" w14:textId="51AF92C2" w:rsidR="00FC4C5F" w:rsidRPr="00B61E56" w:rsidRDefault="00C46580"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 budget des réunions du Comité permanent a augmenté de manière significative de N$ 534.000 (110%), passant de N$ 486.000 à N$ 1.020.000, tandis que le budget des autres organes politiques (notamment RWPC, RPMLOC et COC) a augmenté de N$ 556.500 (643%), passant de N$ 86.500 à N$ 643.000. </w:t>
      </w:r>
    </w:p>
    <w:p w14:paraId="4C4175BE" w14:textId="77777777" w:rsidR="007E60AB" w:rsidRPr="00B61E56" w:rsidRDefault="007E60AB" w:rsidP="007E60AB">
      <w:pPr>
        <w:spacing w:after="0" w:line="240" w:lineRule="auto"/>
        <w:jc w:val="both"/>
        <w:rPr>
          <w:rFonts w:ascii="Bookman Old Style" w:hAnsi="Bookman Old Style"/>
          <w:sz w:val="24"/>
          <w:szCs w:val="24"/>
        </w:rPr>
      </w:pPr>
    </w:p>
    <w:p w14:paraId="7CB39B38" w14:textId="0CDC888A" w:rsidR="00A01CBD" w:rsidRPr="00B61E56" w:rsidRDefault="00A01CBD" w:rsidP="00E111F6">
      <w:pPr>
        <w:pStyle w:val="ListParagraph"/>
        <w:numPr>
          <w:ilvl w:val="2"/>
          <w:numId w:val="33"/>
        </w:numPr>
        <w:spacing w:after="0" w:line="240" w:lineRule="auto"/>
        <w:jc w:val="both"/>
        <w:rPr>
          <w:rFonts w:ascii="Bookman Old Style" w:hAnsi="Bookman Old Style"/>
          <w:sz w:val="24"/>
          <w:szCs w:val="24"/>
        </w:rPr>
      </w:pPr>
      <w:r>
        <w:rPr>
          <w:rFonts w:ascii="Bookman Old Style" w:hAnsi="Bookman Old Style"/>
          <w:sz w:val="24"/>
        </w:rPr>
        <w:t xml:space="preserve">La ligne budgétaire des coûts de traduction apparaît réduite de N$ 250 000 à N$ 48 000 car les coûts de traduction ont été alloués à chaque activité nécessitant des services de traduction, les N$ 48 000 étant prévus pour toute autre traduction uniquement. </w:t>
      </w:r>
    </w:p>
    <w:p w14:paraId="2038FBE4" w14:textId="77777777" w:rsidR="002003BF" w:rsidRPr="00B61E56" w:rsidRDefault="002003BF" w:rsidP="002003BF">
      <w:pPr>
        <w:spacing w:after="0" w:line="240" w:lineRule="auto"/>
        <w:jc w:val="both"/>
        <w:rPr>
          <w:rFonts w:ascii="Bookman Old Style" w:hAnsi="Bookman Old Style"/>
          <w:sz w:val="24"/>
          <w:szCs w:val="24"/>
        </w:rPr>
      </w:pPr>
    </w:p>
    <w:p w14:paraId="1A2CB1FC" w14:textId="46006887" w:rsidR="00312550" w:rsidRPr="00B61E56" w:rsidRDefault="00C46580"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Le budget de soutien au programme est relevé de 13% seulement, passant de N$ 301 500 à N$ 341 000, car la plupart des fonds ont été alloués aux comités permanents, ce qui constitue en soi un soutien au programme. La transformation de la SADC PF en un Parlement régional continue d'être une priorité élevée et, par conséquent, un montant de N$ 100 000 au titre de l'appui au programme est alloué à cette activité. La participation aux réunions d'autres organes parlementaires régionaux/mondiaux dans le cadre de ce programme sera également imputée à l'appui au programme. </w:t>
      </w:r>
    </w:p>
    <w:p w14:paraId="3FB4E07F" w14:textId="363E7B8B" w:rsidR="00312550" w:rsidRDefault="00312550" w:rsidP="00312550">
      <w:pPr>
        <w:pStyle w:val="ListParagraph"/>
        <w:rPr>
          <w:rFonts w:ascii="Bookman Old Style" w:hAnsi="Bookman Old Style"/>
          <w:b/>
          <w:bCs/>
          <w:sz w:val="24"/>
          <w:szCs w:val="24"/>
        </w:rPr>
      </w:pPr>
    </w:p>
    <w:p w14:paraId="161662BC" w14:textId="77777777" w:rsidR="008D6F5A" w:rsidRPr="00B61E56" w:rsidRDefault="008D6F5A" w:rsidP="00312550">
      <w:pPr>
        <w:pStyle w:val="ListParagraph"/>
        <w:rPr>
          <w:rFonts w:ascii="Bookman Old Style" w:hAnsi="Bookman Old Style"/>
          <w:b/>
          <w:bCs/>
          <w:sz w:val="24"/>
          <w:szCs w:val="24"/>
        </w:rPr>
      </w:pPr>
    </w:p>
    <w:p w14:paraId="63911F66" w14:textId="77777777" w:rsidR="00244EFD" w:rsidRPr="00244EFD" w:rsidRDefault="00C46580" w:rsidP="00244EFD">
      <w:pPr>
        <w:pStyle w:val="ListParagraph"/>
        <w:keepNext/>
        <w:keepLines/>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b/>
          <w:sz w:val="24"/>
        </w:rPr>
        <w:lastRenderedPageBreak/>
        <w:t>Budget des missions d'observation électorale</w:t>
      </w:r>
    </w:p>
    <w:p w14:paraId="516E6CC9" w14:textId="77777777" w:rsidR="00244EFD" w:rsidRPr="00244EFD" w:rsidRDefault="00244EFD" w:rsidP="00244EFD">
      <w:pPr>
        <w:pStyle w:val="ListParagraph"/>
        <w:rPr>
          <w:rFonts w:ascii="Bookman Old Style" w:hAnsi="Bookman Old Style"/>
          <w:b/>
          <w:sz w:val="24"/>
        </w:rPr>
      </w:pPr>
    </w:p>
    <w:p w14:paraId="76C226D2" w14:textId="73D6749A" w:rsidR="003817D9" w:rsidRPr="008D6F5A" w:rsidRDefault="00A75AB9" w:rsidP="00244EFD">
      <w:pPr>
        <w:pStyle w:val="ListParagraph"/>
        <w:keepNext/>
        <w:keepLines/>
        <w:numPr>
          <w:ilvl w:val="3"/>
          <w:numId w:val="33"/>
        </w:numPr>
        <w:spacing w:after="0" w:line="240" w:lineRule="auto"/>
        <w:jc w:val="both"/>
        <w:rPr>
          <w:rFonts w:ascii="Bookman Old Style" w:hAnsi="Bookman Old Style"/>
          <w:sz w:val="24"/>
          <w:szCs w:val="24"/>
        </w:rPr>
      </w:pPr>
      <w:r>
        <w:rPr>
          <w:rFonts w:ascii="Bookman Old Style" w:hAnsi="Bookman Old Style"/>
          <w:sz w:val="24"/>
        </w:rPr>
        <w:t xml:space="preserve">Le budget des missions d’observation électorale a été maintenu à N$ 300000. De plus amples détails concernant les contributions proposées des parlements membres aux MOE figurent au point 4.3.3. </w:t>
      </w:r>
      <w:proofErr w:type="gramStart"/>
      <w:r>
        <w:rPr>
          <w:rFonts w:ascii="Bookman Old Style" w:hAnsi="Bookman Old Style"/>
          <w:sz w:val="24"/>
        </w:rPr>
        <w:t>ci</w:t>
      </w:r>
      <w:proofErr w:type="gramEnd"/>
      <w:r>
        <w:rPr>
          <w:rFonts w:ascii="Bookman Old Style" w:hAnsi="Bookman Old Style"/>
          <w:sz w:val="24"/>
        </w:rPr>
        <w:t>-dessus.</w:t>
      </w:r>
    </w:p>
    <w:p w14:paraId="05441B87" w14:textId="77777777" w:rsidR="008D6F5A" w:rsidRPr="00B61E56" w:rsidRDefault="008D6F5A" w:rsidP="008D6F5A">
      <w:pPr>
        <w:pStyle w:val="ListParagraph"/>
        <w:keepNext/>
        <w:keepLines/>
        <w:spacing w:after="0" w:line="240" w:lineRule="auto"/>
        <w:ind w:left="1080"/>
        <w:jc w:val="both"/>
        <w:rPr>
          <w:rFonts w:ascii="Bookman Old Style" w:hAnsi="Bookman Old Style"/>
          <w:sz w:val="24"/>
          <w:szCs w:val="24"/>
        </w:rPr>
      </w:pPr>
    </w:p>
    <w:p w14:paraId="3A2F7768" w14:textId="662D6680" w:rsidR="00312550" w:rsidRPr="00B61E56" w:rsidRDefault="00257CED" w:rsidP="003817D9">
      <w:pPr>
        <w:pStyle w:val="ListParagraph"/>
        <w:numPr>
          <w:ilvl w:val="3"/>
          <w:numId w:val="33"/>
        </w:numPr>
        <w:spacing w:after="0" w:line="240" w:lineRule="auto"/>
        <w:jc w:val="both"/>
        <w:rPr>
          <w:rFonts w:ascii="Bookman Old Style" w:hAnsi="Bookman Old Style"/>
          <w:sz w:val="24"/>
          <w:szCs w:val="24"/>
        </w:rPr>
      </w:pPr>
      <w:r>
        <w:rPr>
          <w:rFonts w:ascii="Bookman Old Style" w:hAnsi="Bookman Old Style"/>
          <w:sz w:val="24"/>
        </w:rPr>
        <w:t xml:space="preserve">Les activités relatives à la promotion des réformes électorales dans les États membres par la domestication de la loi type de la SADC sur les élections et la participation à toute opportunité de réforme dans les phases pré-électorales et post-électorales des cycles électoraux des États membres sélectionnés sur la base du calendrier électoral de la SADC seront menées par des moyens virtuels. Afin de rester au cœur des processus de démocratisation dans la région de la SADC en dépit des contraintes financières, le Secrétariat déploiera diverses solutions basées sur les TIC telles que les consultations virtuelles, les enquêtes électroniques et le suivi électronique des réformes électorales. Le Secrétariat tirera également parti des partenariats existants dans l’ensemble de ses programmes pour maximiser sa présence et sa visibilité dans la promotion de la domestication de la loi type de la SADC sur les élections. </w:t>
      </w:r>
    </w:p>
    <w:p w14:paraId="76C39325" w14:textId="7B15029A" w:rsidR="00A75AB9" w:rsidRPr="00B61E56" w:rsidRDefault="00A75AB9" w:rsidP="004909EA">
      <w:pPr>
        <w:spacing w:after="0" w:line="240" w:lineRule="auto"/>
        <w:jc w:val="both"/>
        <w:rPr>
          <w:rFonts w:ascii="Bookman Old Style" w:hAnsi="Bookman Old Style"/>
          <w:sz w:val="24"/>
          <w:szCs w:val="24"/>
        </w:rPr>
      </w:pPr>
    </w:p>
    <w:p w14:paraId="7011D470" w14:textId="648F6EC2" w:rsidR="004909EA" w:rsidRPr="00B61E56" w:rsidRDefault="004909EA" w:rsidP="009B2C35">
      <w:pPr>
        <w:pStyle w:val="ListParagraph"/>
        <w:keepNext/>
        <w:keepLines/>
        <w:numPr>
          <w:ilvl w:val="2"/>
          <w:numId w:val="33"/>
        </w:numPr>
        <w:spacing w:after="0" w:line="240" w:lineRule="auto"/>
        <w:jc w:val="both"/>
        <w:rPr>
          <w:rFonts w:ascii="Bookman Old Style" w:hAnsi="Bookman Old Style"/>
          <w:sz w:val="24"/>
          <w:szCs w:val="24"/>
        </w:rPr>
      </w:pPr>
      <w:r>
        <w:rPr>
          <w:rFonts w:ascii="Bookman Old Style" w:hAnsi="Bookman Old Style"/>
          <w:sz w:val="24"/>
        </w:rPr>
        <w:t>Le tableau ci-dessous présente le budget des dépenses pour les dépenses opérationnelles directes pour 2023-2024 et les compare aux dispositions approuvées pour 2022-2023.</w:t>
      </w:r>
    </w:p>
    <w:p w14:paraId="5D8565B8" w14:textId="77777777" w:rsidR="004165BE" w:rsidRDefault="004165BE" w:rsidP="009B2C35">
      <w:pPr>
        <w:pStyle w:val="ListParagraph"/>
        <w:keepNext/>
        <w:keepLines/>
        <w:spacing w:after="0" w:line="240" w:lineRule="auto"/>
        <w:ind w:left="0"/>
        <w:jc w:val="both"/>
        <w:rPr>
          <w:rFonts w:ascii="Bookman Old Style" w:hAnsi="Bookman Old Style"/>
          <w:sz w:val="24"/>
          <w:szCs w:val="24"/>
        </w:rPr>
      </w:pPr>
    </w:p>
    <w:p w14:paraId="0B06FAFD" w14:textId="77777777" w:rsidR="00A01CBD" w:rsidRPr="008040EC" w:rsidRDefault="00A01CBD" w:rsidP="009B2C35">
      <w:pPr>
        <w:pStyle w:val="ListParagraph"/>
        <w:keepNext/>
        <w:keepLines/>
        <w:spacing w:after="0" w:line="240" w:lineRule="auto"/>
        <w:ind w:left="0"/>
        <w:jc w:val="both"/>
        <w:rPr>
          <w:rFonts w:ascii="Bookman Old Style" w:hAnsi="Bookman Old Style"/>
          <w:sz w:val="24"/>
          <w:szCs w:val="24"/>
        </w:rPr>
      </w:pPr>
    </w:p>
    <w:tbl>
      <w:tblPr>
        <w:tblW w:w="10178" w:type="dxa"/>
        <w:tblLook w:val="04A0" w:firstRow="1" w:lastRow="0" w:firstColumn="1" w:lastColumn="0" w:noHBand="0" w:noVBand="1"/>
      </w:tblPr>
      <w:tblGrid>
        <w:gridCol w:w="718"/>
        <w:gridCol w:w="3837"/>
        <w:gridCol w:w="1415"/>
        <w:gridCol w:w="1128"/>
        <w:gridCol w:w="1556"/>
        <w:gridCol w:w="1556"/>
      </w:tblGrid>
      <w:tr w:rsidR="00077EA8" w:rsidRPr="00077EA8" w14:paraId="059A5AC2" w14:textId="77777777" w:rsidTr="00985388">
        <w:trPr>
          <w:trHeight w:val="285"/>
        </w:trPr>
        <w:tc>
          <w:tcPr>
            <w:tcW w:w="712" w:type="dxa"/>
            <w:tcBorders>
              <w:top w:val="single" w:sz="8" w:space="0" w:color="auto"/>
              <w:left w:val="single" w:sz="8" w:space="0" w:color="auto"/>
              <w:bottom w:val="nil"/>
              <w:right w:val="nil"/>
            </w:tcBorders>
            <w:shd w:val="clear" w:color="auto" w:fill="auto"/>
            <w:noWrap/>
            <w:vAlign w:val="bottom"/>
            <w:hideMark/>
          </w:tcPr>
          <w:p w14:paraId="503A51C6" w14:textId="77777777" w:rsidR="00077EA8" w:rsidRPr="00077EA8" w:rsidRDefault="00077EA8" w:rsidP="009B2C35">
            <w:pPr>
              <w:keepNext/>
              <w:keepLines/>
              <w:spacing w:after="0" w:line="240" w:lineRule="auto"/>
              <w:rPr>
                <w:rFonts w:ascii="Arial Narrow" w:eastAsia="Times New Roman" w:hAnsi="Arial Narrow" w:cs="Calibri"/>
                <w:b/>
                <w:bCs/>
                <w:sz w:val="20"/>
                <w:szCs w:val="20"/>
              </w:rPr>
            </w:pPr>
            <w:r>
              <w:rPr>
                <w:rFonts w:ascii="Arial Narrow" w:hAnsi="Arial Narrow"/>
                <w:b/>
                <w:sz w:val="20"/>
              </w:rPr>
              <w:t> </w:t>
            </w:r>
          </w:p>
        </w:tc>
        <w:tc>
          <w:tcPr>
            <w:tcW w:w="3837" w:type="dxa"/>
            <w:tcBorders>
              <w:top w:val="single" w:sz="8" w:space="0" w:color="auto"/>
              <w:left w:val="nil"/>
              <w:bottom w:val="nil"/>
              <w:right w:val="nil"/>
            </w:tcBorders>
            <w:shd w:val="clear" w:color="auto" w:fill="auto"/>
            <w:noWrap/>
            <w:vAlign w:val="bottom"/>
            <w:hideMark/>
          </w:tcPr>
          <w:p w14:paraId="686009B2" w14:textId="77777777" w:rsidR="00077EA8" w:rsidRPr="00077EA8" w:rsidRDefault="00077EA8" w:rsidP="009B2C35">
            <w:pPr>
              <w:keepNext/>
              <w:keepLines/>
              <w:spacing w:after="0" w:line="240" w:lineRule="auto"/>
              <w:rPr>
                <w:rFonts w:ascii="Arial Narrow" w:eastAsia="Times New Roman" w:hAnsi="Arial Narrow" w:cs="Calibri"/>
                <w:b/>
                <w:bCs/>
                <w:sz w:val="20"/>
                <w:szCs w:val="20"/>
              </w:rPr>
            </w:pPr>
            <w:r>
              <w:rPr>
                <w:rFonts w:ascii="Arial Narrow" w:hAnsi="Arial Narrow"/>
                <w:b/>
                <w:sz w:val="20"/>
              </w:rPr>
              <w:t> </w:t>
            </w:r>
          </w:p>
        </w:tc>
        <w:tc>
          <w:tcPr>
            <w:tcW w:w="1415" w:type="dxa"/>
            <w:tcBorders>
              <w:top w:val="single" w:sz="8" w:space="0" w:color="auto"/>
              <w:left w:val="single" w:sz="8" w:space="0" w:color="auto"/>
              <w:bottom w:val="nil"/>
              <w:right w:val="single" w:sz="8" w:space="0" w:color="auto"/>
            </w:tcBorders>
            <w:shd w:val="clear" w:color="auto" w:fill="auto"/>
            <w:noWrap/>
            <w:vAlign w:val="bottom"/>
            <w:hideMark/>
          </w:tcPr>
          <w:p w14:paraId="4760D9AA" w14:textId="77777777" w:rsidR="00077EA8" w:rsidRPr="00077EA8" w:rsidRDefault="00077EA8" w:rsidP="009B2C35">
            <w:pPr>
              <w:keepNext/>
              <w:keepLines/>
              <w:spacing w:after="0" w:line="240" w:lineRule="auto"/>
              <w:jc w:val="center"/>
              <w:rPr>
                <w:rFonts w:ascii="Calibri" w:eastAsia="Times New Roman" w:hAnsi="Calibri" w:cs="Calibri"/>
                <w:b/>
                <w:bCs/>
              </w:rPr>
            </w:pPr>
            <w:r>
              <w:rPr>
                <w:rFonts w:ascii="Calibri" w:hAnsi="Calibri"/>
                <w:b/>
              </w:rPr>
              <w:t>A</w:t>
            </w:r>
          </w:p>
        </w:tc>
        <w:tc>
          <w:tcPr>
            <w:tcW w:w="1128" w:type="dxa"/>
            <w:tcBorders>
              <w:top w:val="single" w:sz="8" w:space="0" w:color="auto"/>
              <w:left w:val="nil"/>
              <w:bottom w:val="nil"/>
              <w:right w:val="single" w:sz="8" w:space="0" w:color="auto"/>
            </w:tcBorders>
            <w:shd w:val="clear" w:color="auto" w:fill="auto"/>
            <w:noWrap/>
            <w:vAlign w:val="bottom"/>
            <w:hideMark/>
          </w:tcPr>
          <w:p w14:paraId="698B2D17" w14:textId="77777777" w:rsidR="00077EA8" w:rsidRPr="00077EA8" w:rsidRDefault="00077EA8" w:rsidP="009B2C35">
            <w:pPr>
              <w:keepNext/>
              <w:keepLines/>
              <w:spacing w:after="0" w:line="240" w:lineRule="auto"/>
              <w:jc w:val="center"/>
              <w:rPr>
                <w:rFonts w:ascii="Calibri" w:eastAsia="Times New Roman" w:hAnsi="Calibri" w:cs="Calibri"/>
                <w:b/>
                <w:bCs/>
              </w:rPr>
            </w:pPr>
            <w:r>
              <w:rPr>
                <w:rFonts w:ascii="Calibri" w:hAnsi="Calibri"/>
                <w:b/>
              </w:rPr>
              <w:t>B</w:t>
            </w:r>
          </w:p>
        </w:tc>
        <w:tc>
          <w:tcPr>
            <w:tcW w:w="1543" w:type="dxa"/>
            <w:tcBorders>
              <w:top w:val="single" w:sz="8" w:space="0" w:color="auto"/>
              <w:left w:val="nil"/>
              <w:bottom w:val="nil"/>
              <w:right w:val="single" w:sz="8" w:space="0" w:color="auto"/>
            </w:tcBorders>
            <w:shd w:val="clear" w:color="auto" w:fill="auto"/>
            <w:noWrap/>
            <w:vAlign w:val="bottom"/>
            <w:hideMark/>
          </w:tcPr>
          <w:p w14:paraId="1B4DBF7F" w14:textId="77777777" w:rsidR="00077EA8" w:rsidRPr="00077EA8" w:rsidRDefault="00077EA8" w:rsidP="009B2C35">
            <w:pPr>
              <w:keepNext/>
              <w:keepLines/>
              <w:spacing w:after="0" w:line="240" w:lineRule="auto"/>
              <w:jc w:val="center"/>
              <w:rPr>
                <w:rFonts w:ascii="Calibri" w:eastAsia="Times New Roman" w:hAnsi="Calibri" w:cs="Calibri"/>
                <w:b/>
                <w:bCs/>
              </w:rPr>
            </w:pPr>
            <w:r>
              <w:rPr>
                <w:rFonts w:ascii="Calibri" w:hAnsi="Calibri"/>
                <w:b/>
              </w:rPr>
              <w:t>C</w:t>
            </w:r>
          </w:p>
        </w:tc>
        <w:tc>
          <w:tcPr>
            <w:tcW w:w="1543" w:type="dxa"/>
            <w:tcBorders>
              <w:top w:val="single" w:sz="8" w:space="0" w:color="auto"/>
              <w:left w:val="nil"/>
              <w:bottom w:val="nil"/>
              <w:right w:val="single" w:sz="8" w:space="0" w:color="auto"/>
            </w:tcBorders>
            <w:shd w:val="clear" w:color="auto" w:fill="auto"/>
            <w:noWrap/>
            <w:vAlign w:val="bottom"/>
            <w:hideMark/>
          </w:tcPr>
          <w:p w14:paraId="10B83372" w14:textId="77777777" w:rsidR="00077EA8" w:rsidRPr="00077EA8" w:rsidRDefault="00077EA8" w:rsidP="009B2C35">
            <w:pPr>
              <w:keepNext/>
              <w:keepLines/>
              <w:spacing w:after="0" w:line="240" w:lineRule="auto"/>
              <w:jc w:val="center"/>
              <w:rPr>
                <w:rFonts w:ascii="Calibri" w:eastAsia="Times New Roman" w:hAnsi="Calibri" w:cs="Calibri"/>
                <w:b/>
                <w:bCs/>
              </w:rPr>
            </w:pPr>
            <w:r>
              <w:rPr>
                <w:rFonts w:ascii="Calibri" w:hAnsi="Calibri"/>
                <w:b/>
              </w:rPr>
              <w:t>D</w:t>
            </w:r>
          </w:p>
        </w:tc>
      </w:tr>
      <w:tr w:rsidR="00077EA8" w:rsidRPr="00077EA8" w14:paraId="682108F5" w14:textId="77777777" w:rsidTr="00985388">
        <w:trPr>
          <w:trHeight w:val="288"/>
        </w:trPr>
        <w:tc>
          <w:tcPr>
            <w:tcW w:w="712" w:type="dxa"/>
            <w:tcBorders>
              <w:top w:val="single" w:sz="8" w:space="0" w:color="auto"/>
              <w:left w:val="single" w:sz="8" w:space="0" w:color="auto"/>
              <w:bottom w:val="nil"/>
              <w:right w:val="nil"/>
            </w:tcBorders>
            <w:shd w:val="clear" w:color="auto" w:fill="auto"/>
            <w:noWrap/>
            <w:vAlign w:val="bottom"/>
            <w:hideMark/>
          </w:tcPr>
          <w:p w14:paraId="0D987CC0" w14:textId="77777777" w:rsidR="00077EA8" w:rsidRPr="00077EA8" w:rsidRDefault="00077EA8" w:rsidP="009B2C35">
            <w:pPr>
              <w:keepNext/>
              <w:keepLines/>
              <w:spacing w:after="0" w:line="240" w:lineRule="auto"/>
              <w:jc w:val="center"/>
              <w:rPr>
                <w:rFonts w:ascii="Arial Narrow" w:eastAsia="Times New Roman" w:hAnsi="Arial Narrow" w:cs="Calibri"/>
                <w:b/>
                <w:bCs/>
                <w:sz w:val="20"/>
                <w:szCs w:val="20"/>
              </w:rPr>
            </w:pPr>
            <w:r>
              <w:rPr>
                <w:rFonts w:ascii="Arial Narrow" w:hAnsi="Arial Narrow"/>
                <w:b/>
                <w:sz w:val="20"/>
              </w:rPr>
              <w:t xml:space="preserve"> POINT </w:t>
            </w:r>
          </w:p>
        </w:tc>
        <w:tc>
          <w:tcPr>
            <w:tcW w:w="3837" w:type="dxa"/>
            <w:tcBorders>
              <w:top w:val="single" w:sz="8" w:space="0" w:color="auto"/>
              <w:left w:val="single" w:sz="8" w:space="0" w:color="auto"/>
              <w:bottom w:val="nil"/>
              <w:right w:val="single" w:sz="8" w:space="0" w:color="auto"/>
            </w:tcBorders>
            <w:shd w:val="clear" w:color="auto" w:fill="auto"/>
            <w:noWrap/>
            <w:vAlign w:val="bottom"/>
            <w:hideMark/>
          </w:tcPr>
          <w:p w14:paraId="2DF69509" w14:textId="77777777" w:rsidR="00077EA8" w:rsidRPr="00077EA8" w:rsidRDefault="00077EA8" w:rsidP="009B2C35">
            <w:pPr>
              <w:keepNext/>
              <w:keepLines/>
              <w:spacing w:after="0" w:line="240" w:lineRule="auto"/>
              <w:rPr>
                <w:rFonts w:ascii="Arial Narrow" w:eastAsia="Times New Roman" w:hAnsi="Arial Narrow" w:cs="Calibri"/>
                <w:b/>
                <w:bCs/>
                <w:sz w:val="20"/>
                <w:szCs w:val="20"/>
              </w:rPr>
            </w:pPr>
            <w:r>
              <w:rPr>
                <w:rFonts w:ascii="Arial Narrow" w:hAnsi="Arial Narrow"/>
                <w:b/>
                <w:sz w:val="20"/>
              </w:rPr>
              <w:t xml:space="preserve"> DÉPENSES/REVENUS </w:t>
            </w:r>
          </w:p>
        </w:tc>
        <w:tc>
          <w:tcPr>
            <w:tcW w:w="1415" w:type="dxa"/>
            <w:tcBorders>
              <w:top w:val="single" w:sz="8" w:space="0" w:color="auto"/>
              <w:left w:val="single" w:sz="8" w:space="0" w:color="auto"/>
              <w:bottom w:val="nil"/>
              <w:right w:val="single" w:sz="8" w:space="0" w:color="auto"/>
            </w:tcBorders>
            <w:shd w:val="clear" w:color="auto" w:fill="auto"/>
            <w:noWrap/>
            <w:vAlign w:val="bottom"/>
            <w:hideMark/>
          </w:tcPr>
          <w:p w14:paraId="67C05874" w14:textId="77777777" w:rsidR="00077EA8" w:rsidRPr="00077EA8" w:rsidRDefault="00077EA8" w:rsidP="009B2C35">
            <w:pPr>
              <w:keepNext/>
              <w:keepLines/>
              <w:spacing w:after="0" w:line="240" w:lineRule="auto"/>
              <w:jc w:val="center"/>
              <w:rPr>
                <w:rFonts w:ascii="Arial Narrow" w:eastAsia="Times New Roman" w:hAnsi="Arial Narrow" w:cs="Calibri"/>
                <w:b/>
                <w:bCs/>
                <w:sz w:val="20"/>
                <w:szCs w:val="20"/>
              </w:rPr>
            </w:pPr>
            <w:r>
              <w:rPr>
                <w:rFonts w:ascii="Arial Narrow" w:hAnsi="Arial Narrow"/>
                <w:b/>
                <w:sz w:val="20"/>
              </w:rPr>
              <w:t xml:space="preserve"> COURANT </w:t>
            </w:r>
          </w:p>
        </w:tc>
        <w:tc>
          <w:tcPr>
            <w:tcW w:w="1128" w:type="dxa"/>
            <w:tcBorders>
              <w:top w:val="single" w:sz="8" w:space="0" w:color="auto"/>
              <w:left w:val="nil"/>
              <w:bottom w:val="nil"/>
              <w:right w:val="single" w:sz="8" w:space="0" w:color="auto"/>
            </w:tcBorders>
            <w:shd w:val="clear" w:color="auto" w:fill="auto"/>
            <w:noWrap/>
            <w:vAlign w:val="bottom"/>
            <w:hideMark/>
          </w:tcPr>
          <w:p w14:paraId="590E4057" w14:textId="77777777" w:rsidR="00077EA8" w:rsidRPr="00077EA8" w:rsidRDefault="00077EA8" w:rsidP="009B2C35">
            <w:pPr>
              <w:keepNext/>
              <w:keepLines/>
              <w:spacing w:after="0" w:line="240" w:lineRule="auto"/>
              <w:jc w:val="center"/>
              <w:rPr>
                <w:rFonts w:ascii="Arial Narrow" w:eastAsia="Times New Roman" w:hAnsi="Arial Narrow" w:cs="Calibri"/>
                <w:b/>
                <w:bCs/>
                <w:sz w:val="20"/>
                <w:szCs w:val="20"/>
              </w:rPr>
            </w:pPr>
            <w:r>
              <w:rPr>
                <w:rFonts w:ascii="Arial Narrow" w:hAnsi="Arial Narrow"/>
                <w:b/>
                <w:sz w:val="20"/>
              </w:rPr>
              <w:t xml:space="preserve"> PROPOSÉ </w:t>
            </w:r>
          </w:p>
        </w:tc>
        <w:tc>
          <w:tcPr>
            <w:tcW w:w="1543" w:type="dxa"/>
            <w:tcBorders>
              <w:top w:val="single" w:sz="8" w:space="0" w:color="auto"/>
              <w:left w:val="nil"/>
              <w:bottom w:val="nil"/>
              <w:right w:val="single" w:sz="8" w:space="0" w:color="auto"/>
            </w:tcBorders>
            <w:shd w:val="clear" w:color="auto" w:fill="auto"/>
            <w:noWrap/>
            <w:vAlign w:val="bottom"/>
            <w:hideMark/>
          </w:tcPr>
          <w:p w14:paraId="12C74085" w14:textId="77777777" w:rsidR="00077EA8" w:rsidRPr="00077EA8" w:rsidRDefault="00077EA8" w:rsidP="009B2C35">
            <w:pPr>
              <w:keepNext/>
              <w:keepLines/>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AUGMENTATION </w:t>
            </w:r>
          </w:p>
        </w:tc>
        <w:tc>
          <w:tcPr>
            <w:tcW w:w="1543" w:type="dxa"/>
            <w:tcBorders>
              <w:top w:val="single" w:sz="8" w:space="0" w:color="auto"/>
              <w:left w:val="nil"/>
              <w:bottom w:val="nil"/>
              <w:right w:val="single" w:sz="8" w:space="0" w:color="auto"/>
            </w:tcBorders>
            <w:shd w:val="clear" w:color="auto" w:fill="auto"/>
            <w:noWrap/>
            <w:vAlign w:val="bottom"/>
            <w:hideMark/>
          </w:tcPr>
          <w:p w14:paraId="0102EBE9" w14:textId="77777777" w:rsidR="00077EA8" w:rsidRPr="00077EA8" w:rsidRDefault="00077EA8" w:rsidP="009B2C35">
            <w:pPr>
              <w:keepNext/>
              <w:keepLines/>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AUGMENTATION </w:t>
            </w:r>
          </w:p>
        </w:tc>
      </w:tr>
      <w:tr w:rsidR="00077EA8" w:rsidRPr="00077EA8" w14:paraId="355888B0" w14:textId="77777777" w:rsidTr="00985388">
        <w:trPr>
          <w:trHeight w:val="288"/>
        </w:trPr>
        <w:tc>
          <w:tcPr>
            <w:tcW w:w="712" w:type="dxa"/>
            <w:tcBorders>
              <w:top w:val="nil"/>
              <w:left w:val="single" w:sz="8" w:space="0" w:color="auto"/>
              <w:bottom w:val="nil"/>
              <w:right w:val="nil"/>
            </w:tcBorders>
            <w:shd w:val="clear" w:color="auto" w:fill="auto"/>
            <w:noWrap/>
            <w:vAlign w:val="bottom"/>
            <w:hideMark/>
          </w:tcPr>
          <w:p w14:paraId="56618B8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NO. </w:t>
            </w:r>
          </w:p>
        </w:tc>
        <w:tc>
          <w:tcPr>
            <w:tcW w:w="3837" w:type="dxa"/>
            <w:tcBorders>
              <w:top w:val="nil"/>
              <w:left w:val="single" w:sz="8" w:space="0" w:color="auto"/>
              <w:bottom w:val="nil"/>
              <w:right w:val="single" w:sz="8" w:space="0" w:color="auto"/>
            </w:tcBorders>
            <w:shd w:val="clear" w:color="auto" w:fill="auto"/>
            <w:noWrap/>
            <w:vAlign w:val="bottom"/>
            <w:hideMark/>
          </w:tcPr>
          <w:p w14:paraId="77319366"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CATÉGORIE </w:t>
            </w:r>
          </w:p>
        </w:tc>
        <w:tc>
          <w:tcPr>
            <w:tcW w:w="1415" w:type="dxa"/>
            <w:tcBorders>
              <w:top w:val="nil"/>
              <w:left w:val="single" w:sz="8" w:space="0" w:color="auto"/>
              <w:bottom w:val="nil"/>
              <w:right w:val="single" w:sz="8" w:space="0" w:color="auto"/>
            </w:tcBorders>
            <w:shd w:val="clear" w:color="auto" w:fill="auto"/>
            <w:noWrap/>
            <w:vAlign w:val="bottom"/>
            <w:hideMark/>
          </w:tcPr>
          <w:p w14:paraId="43F0B175"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APPROUVÉ</w:t>
            </w:r>
          </w:p>
        </w:tc>
        <w:tc>
          <w:tcPr>
            <w:tcW w:w="1128" w:type="dxa"/>
            <w:tcBorders>
              <w:top w:val="nil"/>
              <w:left w:val="nil"/>
              <w:bottom w:val="nil"/>
              <w:right w:val="single" w:sz="8" w:space="0" w:color="auto"/>
            </w:tcBorders>
            <w:shd w:val="clear" w:color="auto" w:fill="auto"/>
            <w:noWrap/>
            <w:vAlign w:val="bottom"/>
            <w:hideMark/>
          </w:tcPr>
          <w:p w14:paraId="03D4A3A8"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BUDGET</w:t>
            </w:r>
          </w:p>
        </w:tc>
        <w:tc>
          <w:tcPr>
            <w:tcW w:w="1543" w:type="dxa"/>
            <w:tcBorders>
              <w:top w:val="nil"/>
              <w:left w:val="nil"/>
              <w:bottom w:val="nil"/>
              <w:right w:val="single" w:sz="8" w:space="0" w:color="auto"/>
            </w:tcBorders>
            <w:shd w:val="clear" w:color="auto" w:fill="auto"/>
            <w:noWrap/>
            <w:vAlign w:val="bottom"/>
            <w:hideMark/>
          </w:tcPr>
          <w:p w14:paraId="0F9728D2"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(BAISSE)</w:t>
            </w:r>
          </w:p>
        </w:tc>
        <w:tc>
          <w:tcPr>
            <w:tcW w:w="1543" w:type="dxa"/>
            <w:tcBorders>
              <w:top w:val="nil"/>
              <w:left w:val="nil"/>
              <w:bottom w:val="nil"/>
              <w:right w:val="single" w:sz="8" w:space="0" w:color="auto"/>
            </w:tcBorders>
            <w:shd w:val="clear" w:color="auto" w:fill="auto"/>
            <w:noWrap/>
            <w:vAlign w:val="bottom"/>
            <w:hideMark/>
          </w:tcPr>
          <w:p w14:paraId="3505AA06"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(BAISSE)</w:t>
            </w:r>
          </w:p>
        </w:tc>
      </w:tr>
      <w:tr w:rsidR="00077EA8" w:rsidRPr="00077EA8" w14:paraId="117F6F21" w14:textId="77777777" w:rsidTr="00985388">
        <w:trPr>
          <w:trHeight w:val="288"/>
        </w:trPr>
        <w:tc>
          <w:tcPr>
            <w:tcW w:w="712" w:type="dxa"/>
            <w:tcBorders>
              <w:top w:val="nil"/>
              <w:left w:val="single" w:sz="8" w:space="0" w:color="auto"/>
              <w:bottom w:val="nil"/>
              <w:right w:val="nil"/>
            </w:tcBorders>
            <w:shd w:val="clear" w:color="auto" w:fill="auto"/>
            <w:noWrap/>
            <w:vAlign w:val="bottom"/>
            <w:hideMark/>
          </w:tcPr>
          <w:p w14:paraId="20809FFB"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837" w:type="dxa"/>
            <w:tcBorders>
              <w:top w:val="nil"/>
              <w:left w:val="single" w:sz="8" w:space="0" w:color="auto"/>
              <w:bottom w:val="nil"/>
              <w:right w:val="single" w:sz="8" w:space="0" w:color="auto"/>
            </w:tcBorders>
            <w:shd w:val="clear" w:color="auto" w:fill="auto"/>
            <w:noWrap/>
            <w:vAlign w:val="bottom"/>
            <w:hideMark/>
          </w:tcPr>
          <w:p w14:paraId="0186241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15" w:type="dxa"/>
            <w:tcBorders>
              <w:top w:val="nil"/>
              <w:left w:val="single" w:sz="8" w:space="0" w:color="auto"/>
              <w:bottom w:val="nil"/>
              <w:right w:val="single" w:sz="8" w:space="0" w:color="auto"/>
            </w:tcBorders>
            <w:shd w:val="clear" w:color="auto" w:fill="auto"/>
            <w:noWrap/>
            <w:vAlign w:val="bottom"/>
            <w:hideMark/>
          </w:tcPr>
          <w:p w14:paraId="12228FB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BUDGET</w:t>
            </w:r>
          </w:p>
        </w:tc>
        <w:tc>
          <w:tcPr>
            <w:tcW w:w="1128" w:type="dxa"/>
            <w:tcBorders>
              <w:top w:val="nil"/>
              <w:left w:val="nil"/>
              <w:bottom w:val="nil"/>
              <w:right w:val="single" w:sz="8" w:space="0" w:color="auto"/>
            </w:tcBorders>
            <w:shd w:val="clear" w:color="auto" w:fill="auto"/>
            <w:noWrap/>
            <w:vAlign w:val="bottom"/>
            <w:hideMark/>
          </w:tcPr>
          <w:p w14:paraId="52F1579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543" w:type="dxa"/>
            <w:tcBorders>
              <w:top w:val="nil"/>
              <w:left w:val="nil"/>
              <w:bottom w:val="nil"/>
              <w:right w:val="single" w:sz="8" w:space="0" w:color="auto"/>
            </w:tcBorders>
            <w:shd w:val="clear" w:color="auto" w:fill="auto"/>
            <w:noWrap/>
            <w:vAlign w:val="bottom"/>
            <w:hideMark/>
          </w:tcPr>
          <w:p w14:paraId="0FBB4DD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543" w:type="dxa"/>
            <w:tcBorders>
              <w:top w:val="nil"/>
              <w:left w:val="nil"/>
              <w:bottom w:val="nil"/>
              <w:right w:val="single" w:sz="8" w:space="0" w:color="auto"/>
            </w:tcBorders>
            <w:shd w:val="clear" w:color="auto" w:fill="auto"/>
            <w:noWrap/>
            <w:vAlign w:val="bottom"/>
            <w:hideMark/>
          </w:tcPr>
          <w:p w14:paraId="1FA4D4AB"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077EA8" w:rsidRPr="00077EA8" w14:paraId="7424ADCF" w14:textId="77777777" w:rsidTr="00985388">
        <w:trPr>
          <w:trHeight w:val="288"/>
        </w:trPr>
        <w:tc>
          <w:tcPr>
            <w:tcW w:w="712" w:type="dxa"/>
            <w:tcBorders>
              <w:top w:val="nil"/>
              <w:left w:val="single" w:sz="8" w:space="0" w:color="auto"/>
              <w:bottom w:val="nil"/>
              <w:right w:val="nil"/>
            </w:tcBorders>
            <w:shd w:val="clear" w:color="auto" w:fill="auto"/>
            <w:noWrap/>
            <w:vAlign w:val="bottom"/>
            <w:hideMark/>
          </w:tcPr>
          <w:p w14:paraId="60D6F1A5"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837" w:type="dxa"/>
            <w:tcBorders>
              <w:top w:val="nil"/>
              <w:left w:val="single" w:sz="8" w:space="0" w:color="auto"/>
              <w:bottom w:val="nil"/>
              <w:right w:val="single" w:sz="8" w:space="0" w:color="auto"/>
            </w:tcBorders>
            <w:shd w:val="clear" w:color="auto" w:fill="auto"/>
            <w:noWrap/>
            <w:vAlign w:val="bottom"/>
            <w:hideMark/>
          </w:tcPr>
          <w:p w14:paraId="31012AAC"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15" w:type="dxa"/>
            <w:tcBorders>
              <w:top w:val="nil"/>
              <w:left w:val="single" w:sz="8" w:space="0" w:color="auto"/>
              <w:bottom w:val="nil"/>
              <w:right w:val="single" w:sz="8" w:space="0" w:color="auto"/>
            </w:tcBorders>
            <w:shd w:val="clear" w:color="auto" w:fill="auto"/>
            <w:noWrap/>
            <w:vAlign w:val="bottom"/>
            <w:hideMark/>
          </w:tcPr>
          <w:p w14:paraId="14CED943"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2022-2023</w:t>
            </w:r>
          </w:p>
        </w:tc>
        <w:tc>
          <w:tcPr>
            <w:tcW w:w="1128" w:type="dxa"/>
            <w:tcBorders>
              <w:top w:val="nil"/>
              <w:left w:val="nil"/>
              <w:bottom w:val="nil"/>
              <w:right w:val="single" w:sz="8" w:space="0" w:color="auto"/>
            </w:tcBorders>
            <w:shd w:val="clear" w:color="auto" w:fill="auto"/>
            <w:noWrap/>
            <w:vAlign w:val="bottom"/>
            <w:hideMark/>
          </w:tcPr>
          <w:p w14:paraId="5E718B79"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2023-2024</w:t>
            </w:r>
          </w:p>
        </w:tc>
        <w:tc>
          <w:tcPr>
            <w:tcW w:w="1543" w:type="dxa"/>
            <w:tcBorders>
              <w:top w:val="nil"/>
              <w:left w:val="nil"/>
              <w:bottom w:val="nil"/>
              <w:right w:val="single" w:sz="8" w:space="0" w:color="auto"/>
            </w:tcBorders>
            <w:shd w:val="clear" w:color="auto" w:fill="auto"/>
            <w:noWrap/>
            <w:vAlign w:val="bottom"/>
            <w:hideMark/>
          </w:tcPr>
          <w:p w14:paraId="45007A46"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543" w:type="dxa"/>
            <w:tcBorders>
              <w:top w:val="nil"/>
              <w:left w:val="nil"/>
              <w:bottom w:val="nil"/>
              <w:right w:val="single" w:sz="8" w:space="0" w:color="auto"/>
            </w:tcBorders>
            <w:shd w:val="clear" w:color="auto" w:fill="auto"/>
            <w:noWrap/>
            <w:vAlign w:val="bottom"/>
            <w:hideMark/>
          </w:tcPr>
          <w:p w14:paraId="3E5F96B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077EA8" w:rsidRPr="00077EA8" w14:paraId="416B15DD" w14:textId="77777777" w:rsidTr="00985388">
        <w:trPr>
          <w:trHeight w:val="288"/>
        </w:trPr>
        <w:tc>
          <w:tcPr>
            <w:tcW w:w="712" w:type="dxa"/>
            <w:tcBorders>
              <w:top w:val="nil"/>
              <w:left w:val="single" w:sz="8" w:space="0" w:color="auto"/>
              <w:bottom w:val="single" w:sz="8" w:space="0" w:color="auto"/>
              <w:right w:val="nil"/>
            </w:tcBorders>
            <w:shd w:val="clear" w:color="auto" w:fill="auto"/>
            <w:noWrap/>
            <w:vAlign w:val="bottom"/>
            <w:hideMark/>
          </w:tcPr>
          <w:p w14:paraId="3E2CD02A"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837" w:type="dxa"/>
            <w:tcBorders>
              <w:top w:val="nil"/>
              <w:left w:val="single" w:sz="8" w:space="0" w:color="auto"/>
              <w:bottom w:val="single" w:sz="8" w:space="0" w:color="auto"/>
              <w:right w:val="single" w:sz="8" w:space="0" w:color="auto"/>
            </w:tcBorders>
            <w:shd w:val="clear" w:color="auto" w:fill="auto"/>
            <w:noWrap/>
            <w:vAlign w:val="bottom"/>
            <w:hideMark/>
          </w:tcPr>
          <w:p w14:paraId="583ABFBC"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15" w:type="dxa"/>
            <w:tcBorders>
              <w:top w:val="nil"/>
              <w:left w:val="single" w:sz="8" w:space="0" w:color="auto"/>
              <w:bottom w:val="single" w:sz="8" w:space="0" w:color="auto"/>
              <w:right w:val="single" w:sz="8" w:space="0" w:color="auto"/>
            </w:tcBorders>
            <w:shd w:val="clear" w:color="auto" w:fill="auto"/>
            <w:noWrap/>
            <w:vAlign w:val="bottom"/>
            <w:hideMark/>
          </w:tcPr>
          <w:p w14:paraId="60DA7F63"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28" w:type="dxa"/>
            <w:tcBorders>
              <w:top w:val="nil"/>
              <w:left w:val="nil"/>
              <w:bottom w:val="single" w:sz="8" w:space="0" w:color="auto"/>
              <w:right w:val="single" w:sz="8" w:space="0" w:color="auto"/>
            </w:tcBorders>
            <w:shd w:val="clear" w:color="auto" w:fill="auto"/>
            <w:noWrap/>
            <w:vAlign w:val="bottom"/>
            <w:hideMark/>
          </w:tcPr>
          <w:p w14:paraId="3955EEFA"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543" w:type="dxa"/>
            <w:tcBorders>
              <w:top w:val="nil"/>
              <w:left w:val="nil"/>
              <w:bottom w:val="single" w:sz="8" w:space="0" w:color="auto"/>
              <w:right w:val="single" w:sz="8" w:space="0" w:color="auto"/>
            </w:tcBorders>
            <w:shd w:val="clear" w:color="auto" w:fill="auto"/>
            <w:noWrap/>
            <w:vAlign w:val="bottom"/>
            <w:hideMark/>
          </w:tcPr>
          <w:p w14:paraId="30BDC9E2"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543" w:type="dxa"/>
            <w:tcBorders>
              <w:top w:val="nil"/>
              <w:left w:val="nil"/>
              <w:bottom w:val="single" w:sz="8" w:space="0" w:color="auto"/>
              <w:right w:val="single" w:sz="8" w:space="0" w:color="auto"/>
            </w:tcBorders>
            <w:shd w:val="clear" w:color="auto" w:fill="auto"/>
            <w:noWrap/>
            <w:vAlign w:val="bottom"/>
            <w:hideMark/>
          </w:tcPr>
          <w:p w14:paraId="7BF6AD81"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 </w:t>
            </w:r>
          </w:p>
        </w:tc>
      </w:tr>
      <w:tr w:rsidR="00077EA8" w:rsidRPr="00077EA8" w14:paraId="57AB05C9" w14:textId="77777777" w:rsidTr="00985388">
        <w:trPr>
          <w:trHeight w:val="288"/>
        </w:trPr>
        <w:tc>
          <w:tcPr>
            <w:tcW w:w="712" w:type="dxa"/>
            <w:tcBorders>
              <w:top w:val="single" w:sz="4" w:space="0" w:color="FF0000"/>
              <w:left w:val="single" w:sz="8" w:space="0" w:color="auto"/>
              <w:bottom w:val="single" w:sz="4" w:space="0" w:color="FF0000"/>
              <w:right w:val="nil"/>
            </w:tcBorders>
            <w:shd w:val="clear" w:color="auto" w:fill="auto"/>
            <w:noWrap/>
            <w:vAlign w:val="bottom"/>
            <w:hideMark/>
          </w:tcPr>
          <w:p w14:paraId="44329D9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837"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64D5AA89"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Dépenses opérationnelles directes </w:t>
            </w:r>
          </w:p>
        </w:tc>
        <w:tc>
          <w:tcPr>
            <w:tcW w:w="1415" w:type="dxa"/>
            <w:tcBorders>
              <w:top w:val="single" w:sz="4" w:space="0" w:color="FF0000"/>
              <w:left w:val="nil"/>
              <w:bottom w:val="single" w:sz="4" w:space="0" w:color="FF0000"/>
              <w:right w:val="single" w:sz="8" w:space="0" w:color="auto"/>
            </w:tcBorders>
            <w:shd w:val="clear" w:color="auto" w:fill="auto"/>
            <w:noWrap/>
            <w:vAlign w:val="bottom"/>
            <w:hideMark/>
          </w:tcPr>
          <w:p w14:paraId="73FC3870" w14:textId="3F5526C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4301600 </w:t>
            </w:r>
          </w:p>
        </w:tc>
        <w:tc>
          <w:tcPr>
            <w:tcW w:w="1128" w:type="dxa"/>
            <w:tcBorders>
              <w:top w:val="single" w:sz="4" w:space="0" w:color="FF0000"/>
              <w:left w:val="nil"/>
              <w:bottom w:val="single" w:sz="4" w:space="0" w:color="FF0000"/>
              <w:right w:val="single" w:sz="8" w:space="0" w:color="auto"/>
            </w:tcBorders>
            <w:shd w:val="clear" w:color="auto" w:fill="auto"/>
            <w:noWrap/>
            <w:vAlign w:val="bottom"/>
            <w:hideMark/>
          </w:tcPr>
          <w:p w14:paraId="2E0E0564"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6460200 </w:t>
            </w:r>
          </w:p>
        </w:tc>
        <w:tc>
          <w:tcPr>
            <w:tcW w:w="1543" w:type="dxa"/>
            <w:tcBorders>
              <w:top w:val="single" w:sz="4" w:space="0" w:color="FF0000"/>
              <w:left w:val="nil"/>
              <w:bottom w:val="single" w:sz="4" w:space="0" w:color="FF0000"/>
              <w:right w:val="single" w:sz="8" w:space="0" w:color="auto"/>
            </w:tcBorders>
            <w:shd w:val="clear" w:color="auto" w:fill="auto"/>
            <w:noWrap/>
            <w:vAlign w:val="bottom"/>
            <w:hideMark/>
          </w:tcPr>
          <w:p w14:paraId="6AF1ABF6"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2158600 </w:t>
            </w:r>
          </w:p>
        </w:tc>
        <w:tc>
          <w:tcPr>
            <w:tcW w:w="1543" w:type="dxa"/>
            <w:tcBorders>
              <w:top w:val="single" w:sz="4" w:space="0" w:color="FF0000"/>
              <w:left w:val="nil"/>
              <w:bottom w:val="single" w:sz="4" w:space="0" w:color="FF0000"/>
              <w:right w:val="single" w:sz="8" w:space="0" w:color="auto"/>
            </w:tcBorders>
            <w:shd w:val="clear" w:color="auto" w:fill="auto"/>
            <w:noWrap/>
            <w:vAlign w:val="bottom"/>
            <w:hideMark/>
          </w:tcPr>
          <w:p w14:paraId="545EE604"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50%</w:t>
            </w:r>
          </w:p>
        </w:tc>
      </w:tr>
      <w:tr w:rsidR="00077EA8" w:rsidRPr="00077EA8" w14:paraId="12B1DC31" w14:textId="77777777" w:rsidTr="00985388">
        <w:trPr>
          <w:trHeight w:val="288"/>
        </w:trPr>
        <w:tc>
          <w:tcPr>
            <w:tcW w:w="712" w:type="dxa"/>
            <w:tcBorders>
              <w:top w:val="dashed" w:sz="4" w:space="0" w:color="auto"/>
              <w:left w:val="single" w:sz="8" w:space="0" w:color="auto"/>
              <w:bottom w:val="nil"/>
              <w:right w:val="nil"/>
            </w:tcBorders>
            <w:shd w:val="clear" w:color="auto" w:fill="auto"/>
            <w:noWrap/>
            <w:vAlign w:val="bottom"/>
            <w:hideMark/>
          </w:tcPr>
          <w:p w14:paraId="5709E428"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10</w:t>
            </w:r>
          </w:p>
        </w:tc>
        <w:tc>
          <w:tcPr>
            <w:tcW w:w="3837" w:type="dxa"/>
            <w:tcBorders>
              <w:top w:val="dashed" w:sz="4" w:space="0" w:color="auto"/>
              <w:left w:val="single" w:sz="8" w:space="0" w:color="auto"/>
              <w:bottom w:val="dashed" w:sz="4" w:space="0" w:color="auto"/>
              <w:right w:val="single" w:sz="8" w:space="0" w:color="auto"/>
            </w:tcBorders>
            <w:shd w:val="clear" w:color="auto" w:fill="auto"/>
            <w:noWrap/>
            <w:vAlign w:val="bottom"/>
            <w:hideMark/>
          </w:tcPr>
          <w:p w14:paraId="3182C13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Réunions de l'assemblée plénière </w:t>
            </w:r>
          </w:p>
        </w:tc>
        <w:tc>
          <w:tcPr>
            <w:tcW w:w="1415" w:type="dxa"/>
            <w:tcBorders>
              <w:top w:val="dotted" w:sz="4" w:space="0" w:color="auto"/>
              <w:left w:val="nil"/>
              <w:bottom w:val="dotted" w:sz="4" w:space="0" w:color="auto"/>
              <w:right w:val="single" w:sz="8" w:space="0" w:color="auto"/>
            </w:tcBorders>
            <w:shd w:val="clear" w:color="auto" w:fill="auto"/>
            <w:noWrap/>
            <w:vAlign w:val="bottom"/>
            <w:hideMark/>
          </w:tcPr>
          <w:p w14:paraId="003AA63C" w14:textId="0104AC39"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2164600 </w:t>
            </w:r>
          </w:p>
        </w:tc>
        <w:tc>
          <w:tcPr>
            <w:tcW w:w="1128" w:type="dxa"/>
            <w:tcBorders>
              <w:top w:val="dotted" w:sz="4" w:space="0" w:color="auto"/>
              <w:left w:val="nil"/>
              <w:bottom w:val="dotted" w:sz="4" w:space="0" w:color="auto"/>
              <w:right w:val="single" w:sz="8" w:space="0" w:color="auto"/>
            </w:tcBorders>
            <w:shd w:val="clear" w:color="auto" w:fill="auto"/>
            <w:noWrap/>
            <w:vAlign w:val="bottom"/>
            <w:hideMark/>
          </w:tcPr>
          <w:p w14:paraId="65080411"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3068000 </w:t>
            </w:r>
          </w:p>
        </w:tc>
        <w:tc>
          <w:tcPr>
            <w:tcW w:w="1543" w:type="dxa"/>
            <w:tcBorders>
              <w:top w:val="dotted" w:sz="4" w:space="0" w:color="auto"/>
              <w:left w:val="nil"/>
              <w:bottom w:val="dotted" w:sz="4" w:space="0" w:color="auto"/>
              <w:right w:val="single" w:sz="8" w:space="0" w:color="auto"/>
            </w:tcBorders>
            <w:shd w:val="clear" w:color="auto" w:fill="auto"/>
            <w:noWrap/>
            <w:vAlign w:val="bottom"/>
            <w:hideMark/>
          </w:tcPr>
          <w:p w14:paraId="7F90E9D3"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903400 </w:t>
            </w:r>
          </w:p>
        </w:tc>
        <w:tc>
          <w:tcPr>
            <w:tcW w:w="1543" w:type="dxa"/>
            <w:tcBorders>
              <w:top w:val="dotted" w:sz="4" w:space="0" w:color="auto"/>
              <w:left w:val="nil"/>
              <w:bottom w:val="dotted" w:sz="4" w:space="0" w:color="auto"/>
              <w:right w:val="single" w:sz="8" w:space="0" w:color="auto"/>
            </w:tcBorders>
            <w:shd w:val="clear" w:color="auto" w:fill="auto"/>
            <w:noWrap/>
            <w:vAlign w:val="bottom"/>
            <w:hideMark/>
          </w:tcPr>
          <w:p w14:paraId="75673038"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42%</w:t>
            </w:r>
          </w:p>
        </w:tc>
      </w:tr>
      <w:tr w:rsidR="00077EA8" w:rsidRPr="00077EA8" w14:paraId="58717733" w14:textId="77777777" w:rsidTr="00985388">
        <w:trPr>
          <w:trHeight w:val="288"/>
        </w:trPr>
        <w:tc>
          <w:tcPr>
            <w:tcW w:w="712" w:type="dxa"/>
            <w:tcBorders>
              <w:top w:val="dashed" w:sz="4" w:space="0" w:color="auto"/>
              <w:left w:val="single" w:sz="8" w:space="0" w:color="auto"/>
              <w:bottom w:val="dashed" w:sz="4" w:space="0" w:color="auto"/>
              <w:right w:val="nil"/>
            </w:tcBorders>
            <w:shd w:val="clear" w:color="auto" w:fill="auto"/>
            <w:noWrap/>
            <w:vAlign w:val="bottom"/>
            <w:hideMark/>
          </w:tcPr>
          <w:p w14:paraId="4C59036A"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11</w:t>
            </w:r>
          </w:p>
        </w:tc>
        <w:tc>
          <w:tcPr>
            <w:tcW w:w="3837" w:type="dxa"/>
            <w:tcBorders>
              <w:top w:val="nil"/>
              <w:left w:val="single" w:sz="8" w:space="0" w:color="auto"/>
              <w:bottom w:val="dashed" w:sz="4" w:space="0" w:color="auto"/>
              <w:right w:val="single" w:sz="8" w:space="0" w:color="auto"/>
            </w:tcBorders>
            <w:shd w:val="clear" w:color="auto" w:fill="auto"/>
            <w:noWrap/>
            <w:vAlign w:val="bottom"/>
            <w:hideMark/>
          </w:tcPr>
          <w:p w14:paraId="0DE4DB8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Réunions du Comité exécutif </w:t>
            </w:r>
          </w:p>
        </w:tc>
        <w:tc>
          <w:tcPr>
            <w:tcW w:w="1415" w:type="dxa"/>
            <w:tcBorders>
              <w:top w:val="nil"/>
              <w:left w:val="nil"/>
              <w:bottom w:val="dotted" w:sz="4" w:space="0" w:color="auto"/>
              <w:right w:val="single" w:sz="8" w:space="0" w:color="auto"/>
            </w:tcBorders>
            <w:shd w:val="clear" w:color="auto" w:fill="auto"/>
            <w:noWrap/>
            <w:vAlign w:val="bottom"/>
            <w:hideMark/>
          </w:tcPr>
          <w:p w14:paraId="1FC620E9"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453200 </w:t>
            </w:r>
          </w:p>
        </w:tc>
        <w:tc>
          <w:tcPr>
            <w:tcW w:w="1128" w:type="dxa"/>
            <w:tcBorders>
              <w:top w:val="nil"/>
              <w:left w:val="nil"/>
              <w:bottom w:val="dotted" w:sz="4" w:space="0" w:color="auto"/>
              <w:right w:val="single" w:sz="8" w:space="0" w:color="auto"/>
            </w:tcBorders>
            <w:shd w:val="clear" w:color="auto" w:fill="auto"/>
            <w:noWrap/>
            <w:vAlign w:val="bottom"/>
            <w:hideMark/>
          </w:tcPr>
          <w:p w14:paraId="0EE948D7" w14:textId="148C9929"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w:t>
            </w:r>
            <w:r w:rsidR="00985388">
              <w:rPr>
                <w:rFonts w:ascii="Arial Narrow" w:hAnsi="Arial Narrow"/>
                <w:b/>
                <w:sz w:val="20"/>
              </w:rPr>
              <w:t xml:space="preserve">       </w:t>
            </w:r>
            <w:r>
              <w:rPr>
                <w:rFonts w:ascii="Arial Narrow" w:hAnsi="Arial Narrow"/>
                <w:b/>
                <w:sz w:val="20"/>
              </w:rPr>
              <w:t xml:space="preserve">804600 </w:t>
            </w:r>
          </w:p>
        </w:tc>
        <w:tc>
          <w:tcPr>
            <w:tcW w:w="1543" w:type="dxa"/>
            <w:tcBorders>
              <w:top w:val="nil"/>
              <w:left w:val="nil"/>
              <w:bottom w:val="dotted" w:sz="4" w:space="0" w:color="auto"/>
              <w:right w:val="single" w:sz="8" w:space="0" w:color="auto"/>
            </w:tcBorders>
            <w:shd w:val="clear" w:color="auto" w:fill="auto"/>
            <w:noWrap/>
            <w:vAlign w:val="bottom"/>
            <w:hideMark/>
          </w:tcPr>
          <w:p w14:paraId="269C0A71"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351400 </w:t>
            </w:r>
          </w:p>
        </w:tc>
        <w:tc>
          <w:tcPr>
            <w:tcW w:w="1543" w:type="dxa"/>
            <w:tcBorders>
              <w:top w:val="nil"/>
              <w:left w:val="nil"/>
              <w:bottom w:val="dotted" w:sz="4" w:space="0" w:color="auto"/>
              <w:right w:val="single" w:sz="8" w:space="0" w:color="auto"/>
            </w:tcBorders>
            <w:shd w:val="clear" w:color="auto" w:fill="auto"/>
            <w:noWrap/>
            <w:vAlign w:val="bottom"/>
            <w:hideMark/>
          </w:tcPr>
          <w:p w14:paraId="4B495C94"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78%</w:t>
            </w:r>
          </w:p>
        </w:tc>
      </w:tr>
      <w:tr w:rsidR="00077EA8" w:rsidRPr="00077EA8" w14:paraId="515BF5EE" w14:textId="77777777" w:rsidTr="00985388">
        <w:trPr>
          <w:trHeight w:val="288"/>
        </w:trPr>
        <w:tc>
          <w:tcPr>
            <w:tcW w:w="712" w:type="dxa"/>
            <w:tcBorders>
              <w:top w:val="nil"/>
              <w:left w:val="single" w:sz="8" w:space="0" w:color="auto"/>
              <w:bottom w:val="dashed" w:sz="4" w:space="0" w:color="auto"/>
              <w:right w:val="nil"/>
            </w:tcBorders>
            <w:shd w:val="clear" w:color="auto" w:fill="auto"/>
            <w:noWrap/>
            <w:vAlign w:val="bottom"/>
            <w:hideMark/>
          </w:tcPr>
          <w:p w14:paraId="13F6CCC7"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12</w:t>
            </w:r>
          </w:p>
        </w:tc>
        <w:tc>
          <w:tcPr>
            <w:tcW w:w="3837" w:type="dxa"/>
            <w:tcBorders>
              <w:top w:val="nil"/>
              <w:left w:val="single" w:sz="8" w:space="0" w:color="auto"/>
              <w:bottom w:val="dashed" w:sz="4" w:space="0" w:color="auto"/>
              <w:right w:val="single" w:sz="8" w:space="0" w:color="auto"/>
            </w:tcBorders>
            <w:shd w:val="clear" w:color="auto" w:fill="auto"/>
            <w:noWrap/>
            <w:vAlign w:val="bottom"/>
            <w:hideMark/>
          </w:tcPr>
          <w:p w14:paraId="7E1A9B52"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Activités parlementaires / Réunions du sous-comité du Comité exécutif </w:t>
            </w:r>
          </w:p>
        </w:tc>
        <w:tc>
          <w:tcPr>
            <w:tcW w:w="1415" w:type="dxa"/>
            <w:tcBorders>
              <w:top w:val="nil"/>
              <w:left w:val="nil"/>
              <w:bottom w:val="dotted" w:sz="4" w:space="0" w:color="auto"/>
              <w:right w:val="single" w:sz="8" w:space="0" w:color="auto"/>
            </w:tcBorders>
            <w:shd w:val="clear" w:color="auto" w:fill="auto"/>
            <w:noWrap/>
            <w:vAlign w:val="bottom"/>
            <w:hideMark/>
          </w:tcPr>
          <w:p w14:paraId="5DC59F5C"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259800 </w:t>
            </w:r>
          </w:p>
        </w:tc>
        <w:tc>
          <w:tcPr>
            <w:tcW w:w="1128" w:type="dxa"/>
            <w:tcBorders>
              <w:top w:val="nil"/>
              <w:left w:val="nil"/>
              <w:bottom w:val="dotted" w:sz="4" w:space="0" w:color="auto"/>
              <w:right w:val="single" w:sz="8" w:space="0" w:color="auto"/>
            </w:tcBorders>
            <w:shd w:val="clear" w:color="auto" w:fill="auto"/>
            <w:noWrap/>
            <w:vAlign w:val="bottom"/>
            <w:hideMark/>
          </w:tcPr>
          <w:p w14:paraId="017F6EF5"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235600 </w:t>
            </w:r>
          </w:p>
        </w:tc>
        <w:tc>
          <w:tcPr>
            <w:tcW w:w="1543" w:type="dxa"/>
            <w:tcBorders>
              <w:top w:val="nil"/>
              <w:left w:val="nil"/>
              <w:bottom w:val="dotted" w:sz="4" w:space="0" w:color="auto"/>
              <w:right w:val="single" w:sz="8" w:space="0" w:color="auto"/>
            </w:tcBorders>
            <w:shd w:val="clear" w:color="auto" w:fill="auto"/>
            <w:noWrap/>
            <w:vAlign w:val="bottom"/>
            <w:hideMark/>
          </w:tcPr>
          <w:p w14:paraId="10D05B03"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24200 </w:t>
            </w:r>
          </w:p>
        </w:tc>
        <w:tc>
          <w:tcPr>
            <w:tcW w:w="1543" w:type="dxa"/>
            <w:tcBorders>
              <w:top w:val="nil"/>
              <w:left w:val="nil"/>
              <w:bottom w:val="dotted" w:sz="4" w:space="0" w:color="auto"/>
              <w:right w:val="single" w:sz="8" w:space="0" w:color="auto"/>
            </w:tcBorders>
            <w:shd w:val="clear" w:color="auto" w:fill="auto"/>
            <w:noWrap/>
            <w:vAlign w:val="bottom"/>
            <w:hideMark/>
          </w:tcPr>
          <w:p w14:paraId="244049CD"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-9%</w:t>
            </w:r>
          </w:p>
        </w:tc>
      </w:tr>
      <w:tr w:rsidR="00077EA8" w:rsidRPr="00077EA8" w14:paraId="2E1B7B2E" w14:textId="77777777" w:rsidTr="00985388">
        <w:trPr>
          <w:trHeight w:val="288"/>
        </w:trPr>
        <w:tc>
          <w:tcPr>
            <w:tcW w:w="712" w:type="dxa"/>
            <w:tcBorders>
              <w:top w:val="nil"/>
              <w:left w:val="single" w:sz="8" w:space="0" w:color="auto"/>
              <w:bottom w:val="dashed" w:sz="4" w:space="0" w:color="auto"/>
              <w:right w:val="nil"/>
            </w:tcBorders>
            <w:shd w:val="clear" w:color="auto" w:fill="auto"/>
            <w:noWrap/>
            <w:vAlign w:val="bottom"/>
            <w:hideMark/>
          </w:tcPr>
          <w:p w14:paraId="4FF69359"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13</w:t>
            </w:r>
          </w:p>
        </w:tc>
        <w:tc>
          <w:tcPr>
            <w:tcW w:w="3837" w:type="dxa"/>
            <w:tcBorders>
              <w:top w:val="nil"/>
              <w:left w:val="single" w:sz="8" w:space="0" w:color="auto"/>
              <w:bottom w:val="dashed" w:sz="4" w:space="0" w:color="auto"/>
              <w:right w:val="single" w:sz="8" w:space="0" w:color="auto"/>
            </w:tcBorders>
            <w:shd w:val="clear" w:color="auto" w:fill="auto"/>
            <w:noWrap/>
            <w:vAlign w:val="bottom"/>
            <w:hideMark/>
          </w:tcPr>
          <w:p w14:paraId="417FA46F"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Comités permanents </w:t>
            </w:r>
          </w:p>
        </w:tc>
        <w:tc>
          <w:tcPr>
            <w:tcW w:w="1415" w:type="dxa"/>
            <w:tcBorders>
              <w:top w:val="nil"/>
              <w:left w:val="nil"/>
              <w:bottom w:val="dotted" w:sz="4" w:space="0" w:color="auto"/>
              <w:right w:val="single" w:sz="8" w:space="0" w:color="auto"/>
            </w:tcBorders>
            <w:shd w:val="clear" w:color="auto" w:fill="auto"/>
            <w:noWrap/>
            <w:vAlign w:val="bottom"/>
            <w:hideMark/>
          </w:tcPr>
          <w:p w14:paraId="58D40DC4"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486 000 </w:t>
            </w:r>
          </w:p>
        </w:tc>
        <w:tc>
          <w:tcPr>
            <w:tcW w:w="1128" w:type="dxa"/>
            <w:tcBorders>
              <w:top w:val="nil"/>
              <w:left w:val="nil"/>
              <w:bottom w:val="dotted" w:sz="4" w:space="0" w:color="auto"/>
              <w:right w:val="single" w:sz="8" w:space="0" w:color="auto"/>
            </w:tcBorders>
            <w:shd w:val="clear" w:color="auto" w:fill="auto"/>
            <w:noWrap/>
            <w:vAlign w:val="bottom"/>
            <w:hideMark/>
          </w:tcPr>
          <w:p w14:paraId="5A20F111" w14:textId="2C54632D"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1020000 </w:t>
            </w:r>
          </w:p>
        </w:tc>
        <w:tc>
          <w:tcPr>
            <w:tcW w:w="1543" w:type="dxa"/>
            <w:tcBorders>
              <w:top w:val="nil"/>
              <w:left w:val="nil"/>
              <w:bottom w:val="dotted" w:sz="4" w:space="0" w:color="auto"/>
              <w:right w:val="single" w:sz="8" w:space="0" w:color="auto"/>
            </w:tcBorders>
            <w:shd w:val="clear" w:color="auto" w:fill="auto"/>
            <w:noWrap/>
            <w:vAlign w:val="bottom"/>
            <w:hideMark/>
          </w:tcPr>
          <w:p w14:paraId="3CCD035A"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534000 </w:t>
            </w:r>
          </w:p>
        </w:tc>
        <w:tc>
          <w:tcPr>
            <w:tcW w:w="1543" w:type="dxa"/>
            <w:tcBorders>
              <w:top w:val="nil"/>
              <w:left w:val="nil"/>
              <w:bottom w:val="dotted" w:sz="4" w:space="0" w:color="auto"/>
              <w:right w:val="single" w:sz="8" w:space="0" w:color="auto"/>
            </w:tcBorders>
            <w:shd w:val="clear" w:color="auto" w:fill="auto"/>
            <w:noWrap/>
            <w:vAlign w:val="bottom"/>
            <w:hideMark/>
          </w:tcPr>
          <w:p w14:paraId="200655EF"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110%</w:t>
            </w:r>
          </w:p>
        </w:tc>
      </w:tr>
      <w:tr w:rsidR="00077EA8" w:rsidRPr="00077EA8" w14:paraId="382C20DA" w14:textId="77777777" w:rsidTr="00985388">
        <w:trPr>
          <w:trHeight w:val="300"/>
        </w:trPr>
        <w:tc>
          <w:tcPr>
            <w:tcW w:w="712" w:type="dxa"/>
            <w:tcBorders>
              <w:top w:val="nil"/>
              <w:left w:val="single" w:sz="8" w:space="0" w:color="auto"/>
              <w:bottom w:val="dashed" w:sz="4" w:space="0" w:color="auto"/>
              <w:right w:val="nil"/>
            </w:tcBorders>
            <w:shd w:val="clear" w:color="auto" w:fill="auto"/>
            <w:noWrap/>
            <w:vAlign w:val="bottom"/>
            <w:hideMark/>
          </w:tcPr>
          <w:p w14:paraId="6F5166E1"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14</w:t>
            </w:r>
          </w:p>
        </w:tc>
        <w:tc>
          <w:tcPr>
            <w:tcW w:w="3837" w:type="dxa"/>
            <w:tcBorders>
              <w:top w:val="nil"/>
              <w:left w:val="single" w:sz="8" w:space="0" w:color="auto"/>
              <w:bottom w:val="dashed" w:sz="4" w:space="0" w:color="auto"/>
              <w:right w:val="single" w:sz="8" w:space="0" w:color="auto"/>
            </w:tcBorders>
            <w:shd w:val="clear" w:color="auto" w:fill="auto"/>
            <w:noWrap/>
            <w:vAlign w:val="bottom"/>
            <w:hideMark/>
          </w:tcPr>
          <w:p w14:paraId="20E4B768"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Autres organes de décision/RWPC, RPMLOC, COC </w:t>
            </w:r>
          </w:p>
        </w:tc>
        <w:tc>
          <w:tcPr>
            <w:tcW w:w="1415" w:type="dxa"/>
            <w:tcBorders>
              <w:top w:val="nil"/>
              <w:left w:val="nil"/>
              <w:bottom w:val="dotted" w:sz="4" w:space="0" w:color="auto"/>
              <w:right w:val="single" w:sz="8" w:space="0" w:color="auto"/>
            </w:tcBorders>
            <w:shd w:val="clear" w:color="auto" w:fill="auto"/>
            <w:noWrap/>
            <w:vAlign w:val="bottom"/>
            <w:hideMark/>
          </w:tcPr>
          <w:p w14:paraId="015CD964"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86 500 </w:t>
            </w:r>
          </w:p>
        </w:tc>
        <w:tc>
          <w:tcPr>
            <w:tcW w:w="1128" w:type="dxa"/>
            <w:tcBorders>
              <w:top w:val="nil"/>
              <w:left w:val="nil"/>
              <w:bottom w:val="dotted" w:sz="4" w:space="0" w:color="auto"/>
              <w:right w:val="single" w:sz="8" w:space="0" w:color="auto"/>
            </w:tcBorders>
            <w:shd w:val="clear" w:color="auto" w:fill="auto"/>
            <w:noWrap/>
            <w:vAlign w:val="bottom"/>
            <w:hideMark/>
          </w:tcPr>
          <w:p w14:paraId="620C852D"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643000 </w:t>
            </w:r>
          </w:p>
        </w:tc>
        <w:tc>
          <w:tcPr>
            <w:tcW w:w="1543" w:type="dxa"/>
            <w:tcBorders>
              <w:top w:val="nil"/>
              <w:left w:val="nil"/>
              <w:bottom w:val="dotted" w:sz="4" w:space="0" w:color="auto"/>
              <w:right w:val="single" w:sz="8" w:space="0" w:color="auto"/>
            </w:tcBorders>
            <w:shd w:val="clear" w:color="auto" w:fill="auto"/>
            <w:noWrap/>
            <w:vAlign w:val="bottom"/>
            <w:hideMark/>
          </w:tcPr>
          <w:p w14:paraId="155E03DE"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556500 </w:t>
            </w:r>
          </w:p>
        </w:tc>
        <w:tc>
          <w:tcPr>
            <w:tcW w:w="1543" w:type="dxa"/>
            <w:tcBorders>
              <w:top w:val="nil"/>
              <w:left w:val="nil"/>
              <w:bottom w:val="dotted" w:sz="4" w:space="0" w:color="auto"/>
              <w:right w:val="single" w:sz="8" w:space="0" w:color="auto"/>
            </w:tcBorders>
            <w:shd w:val="clear" w:color="auto" w:fill="auto"/>
            <w:noWrap/>
            <w:vAlign w:val="bottom"/>
            <w:hideMark/>
          </w:tcPr>
          <w:p w14:paraId="52C70588"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643%</w:t>
            </w:r>
          </w:p>
        </w:tc>
      </w:tr>
      <w:tr w:rsidR="00077EA8" w:rsidRPr="00077EA8" w14:paraId="42383535" w14:textId="77777777" w:rsidTr="00985388">
        <w:trPr>
          <w:trHeight w:val="300"/>
        </w:trPr>
        <w:tc>
          <w:tcPr>
            <w:tcW w:w="712" w:type="dxa"/>
            <w:tcBorders>
              <w:top w:val="nil"/>
              <w:left w:val="single" w:sz="8" w:space="0" w:color="auto"/>
              <w:bottom w:val="dashed" w:sz="4" w:space="0" w:color="auto"/>
              <w:right w:val="nil"/>
            </w:tcBorders>
            <w:shd w:val="clear" w:color="auto" w:fill="auto"/>
            <w:noWrap/>
            <w:vAlign w:val="bottom"/>
            <w:hideMark/>
          </w:tcPr>
          <w:p w14:paraId="0FF51AF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15</w:t>
            </w:r>
          </w:p>
        </w:tc>
        <w:tc>
          <w:tcPr>
            <w:tcW w:w="3837" w:type="dxa"/>
            <w:tcBorders>
              <w:top w:val="nil"/>
              <w:left w:val="single" w:sz="8" w:space="0" w:color="auto"/>
              <w:bottom w:val="dashed" w:sz="4" w:space="0" w:color="auto"/>
              <w:right w:val="single" w:sz="8" w:space="0" w:color="auto"/>
            </w:tcBorders>
            <w:shd w:val="clear" w:color="auto" w:fill="auto"/>
            <w:noWrap/>
            <w:vAlign w:val="bottom"/>
            <w:hideMark/>
          </w:tcPr>
          <w:p w14:paraId="49196D45"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Coûts de traduction </w:t>
            </w:r>
          </w:p>
        </w:tc>
        <w:tc>
          <w:tcPr>
            <w:tcW w:w="1415" w:type="dxa"/>
            <w:tcBorders>
              <w:top w:val="nil"/>
              <w:left w:val="nil"/>
              <w:bottom w:val="dotted" w:sz="4" w:space="0" w:color="auto"/>
              <w:right w:val="single" w:sz="8" w:space="0" w:color="auto"/>
            </w:tcBorders>
            <w:shd w:val="clear" w:color="auto" w:fill="auto"/>
            <w:noWrap/>
            <w:vAlign w:val="bottom"/>
            <w:hideMark/>
          </w:tcPr>
          <w:p w14:paraId="6F81D897"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250000 </w:t>
            </w:r>
          </w:p>
        </w:tc>
        <w:tc>
          <w:tcPr>
            <w:tcW w:w="1128" w:type="dxa"/>
            <w:tcBorders>
              <w:top w:val="nil"/>
              <w:left w:val="nil"/>
              <w:bottom w:val="dotted" w:sz="4" w:space="0" w:color="auto"/>
              <w:right w:val="single" w:sz="8" w:space="0" w:color="auto"/>
            </w:tcBorders>
            <w:shd w:val="clear" w:color="auto" w:fill="auto"/>
            <w:noWrap/>
            <w:vAlign w:val="bottom"/>
            <w:hideMark/>
          </w:tcPr>
          <w:p w14:paraId="635F019A"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48000 </w:t>
            </w:r>
          </w:p>
        </w:tc>
        <w:tc>
          <w:tcPr>
            <w:tcW w:w="1543" w:type="dxa"/>
            <w:tcBorders>
              <w:top w:val="nil"/>
              <w:left w:val="nil"/>
              <w:bottom w:val="dotted" w:sz="4" w:space="0" w:color="auto"/>
              <w:right w:val="single" w:sz="8" w:space="0" w:color="auto"/>
            </w:tcBorders>
            <w:shd w:val="clear" w:color="auto" w:fill="auto"/>
            <w:noWrap/>
            <w:vAlign w:val="bottom"/>
            <w:hideMark/>
          </w:tcPr>
          <w:p w14:paraId="4ECD6EC0"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202 000 </w:t>
            </w:r>
          </w:p>
        </w:tc>
        <w:tc>
          <w:tcPr>
            <w:tcW w:w="1543" w:type="dxa"/>
            <w:tcBorders>
              <w:top w:val="nil"/>
              <w:left w:val="nil"/>
              <w:bottom w:val="dotted" w:sz="4" w:space="0" w:color="auto"/>
              <w:right w:val="single" w:sz="8" w:space="0" w:color="auto"/>
            </w:tcBorders>
            <w:shd w:val="clear" w:color="auto" w:fill="auto"/>
            <w:noWrap/>
            <w:vAlign w:val="bottom"/>
            <w:hideMark/>
          </w:tcPr>
          <w:p w14:paraId="3A1E949E"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-81%</w:t>
            </w:r>
          </w:p>
        </w:tc>
      </w:tr>
      <w:tr w:rsidR="00077EA8" w:rsidRPr="00077EA8" w14:paraId="11891C28" w14:textId="77777777" w:rsidTr="00985388">
        <w:trPr>
          <w:trHeight w:val="300"/>
        </w:trPr>
        <w:tc>
          <w:tcPr>
            <w:tcW w:w="712" w:type="dxa"/>
            <w:tcBorders>
              <w:top w:val="nil"/>
              <w:left w:val="single" w:sz="8" w:space="0" w:color="auto"/>
              <w:bottom w:val="dashed" w:sz="4" w:space="0" w:color="auto"/>
              <w:right w:val="nil"/>
            </w:tcBorders>
            <w:shd w:val="clear" w:color="auto" w:fill="auto"/>
            <w:noWrap/>
            <w:vAlign w:val="bottom"/>
            <w:hideMark/>
          </w:tcPr>
          <w:p w14:paraId="015E1ADC"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16</w:t>
            </w:r>
          </w:p>
        </w:tc>
        <w:tc>
          <w:tcPr>
            <w:tcW w:w="3837" w:type="dxa"/>
            <w:tcBorders>
              <w:top w:val="nil"/>
              <w:left w:val="single" w:sz="8" w:space="0" w:color="auto"/>
              <w:bottom w:val="dashed" w:sz="4" w:space="0" w:color="auto"/>
              <w:right w:val="single" w:sz="8" w:space="0" w:color="auto"/>
            </w:tcBorders>
            <w:shd w:val="clear" w:color="auto" w:fill="auto"/>
            <w:noWrap/>
            <w:vAlign w:val="bottom"/>
            <w:hideMark/>
          </w:tcPr>
          <w:p w14:paraId="12390CEB"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Soutien du programme </w:t>
            </w:r>
          </w:p>
        </w:tc>
        <w:tc>
          <w:tcPr>
            <w:tcW w:w="1415" w:type="dxa"/>
            <w:tcBorders>
              <w:top w:val="nil"/>
              <w:left w:val="nil"/>
              <w:bottom w:val="dotted" w:sz="4" w:space="0" w:color="auto"/>
              <w:right w:val="single" w:sz="8" w:space="0" w:color="auto"/>
            </w:tcBorders>
            <w:shd w:val="clear" w:color="auto" w:fill="auto"/>
            <w:noWrap/>
            <w:vAlign w:val="bottom"/>
            <w:hideMark/>
          </w:tcPr>
          <w:p w14:paraId="31B1402E"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301500 </w:t>
            </w:r>
          </w:p>
        </w:tc>
        <w:tc>
          <w:tcPr>
            <w:tcW w:w="1128" w:type="dxa"/>
            <w:tcBorders>
              <w:top w:val="nil"/>
              <w:left w:val="nil"/>
              <w:bottom w:val="dotted" w:sz="4" w:space="0" w:color="auto"/>
              <w:right w:val="single" w:sz="8" w:space="0" w:color="auto"/>
            </w:tcBorders>
            <w:shd w:val="clear" w:color="auto" w:fill="auto"/>
            <w:noWrap/>
            <w:vAlign w:val="bottom"/>
            <w:hideMark/>
          </w:tcPr>
          <w:p w14:paraId="77F7FB83"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341000 </w:t>
            </w:r>
          </w:p>
        </w:tc>
        <w:tc>
          <w:tcPr>
            <w:tcW w:w="1543" w:type="dxa"/>
            <w:tcBorders>
              <w:top w:val="nil"/>
              <w:left w:val="nil"/>
              <w:bottom w:val="dotted" w:sz="4" w:space="0" w:color="auto"/>
              <w:right w:val="single" w:sz="8" w:space="0" w:color="auto"/>
            </w:tcBorders>
            <w:shd w:val="clear" w:color="auto" w:fill="auto"/>
            <w:noWrap/>
            <w:vAlign w:val="bottom"/>
            <w:hideMark/>
          </w:tcPr>
          <w:p w14:paraId="7F78CE21"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39500 </w:t>
            </w:r>
          </w:p>
        </w:tc>
        <w:tc>
          <w:tcPr>
            <w:tcW w:w="1543" w:type="dxa"/>
            <w:tcBorders>
              <w:top w:val="nil"/>
              <w:left w:val="nil"/>
              <w:bottom w:val="dotted" w:sz="4" w:space="0" w:color="auto"/>
              <w:right w:val="single" w:sz="8" w:space="0" w:color="auto"/>
            </w:tcBorders>
            <w:shd w:val="clear" w:color="auto" w:fill="auto"/>
            <w:noWrap/>
            <w:vAlign w:val="bottom"/>
            <w:hideMark/>
          </w:tcPr>
          <w:p w14:paraId="5888C20C"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13%</w:t>
            </w:r>
          </w:p>
        </w:tc>
      </w:tr>
      <w:tr w:rsidR="00077EA8" w:rsidRPr="00077EA8" w14:paraId="0A5114BF" w14:textId="77777777" w:rsidTr="00985388">
        <w:trPr>
          <w:trHeight w:val="300"/>
        </w:trPr>
        <w:tc>
          <w:tcPr>
            <w:tcW w:w="712" w:type="dxa"/>
            <w:tcBorders>
              <w:top w:val="nil"/>
              <w:left w:val="single" w:sz="8" w:space="0" w:color="auto"/>
              <w:bottom w:val="single" w:sz="8" w:space="0" w:color="auto"/>
              <w:right w:val="nil"/>
            </w:tcBorders>
            <w:shd w:val="clear" w:color="auto" w:fill="auto"/>
            <w:noWrap/>
            <w:vAlign w:val="bottom"/>
            <w:hideMark/>
          </w:tcPr>
          <w:p w14:paraId="5409DD2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17</w:t>
            </w:r>
          </w:p>
        </w:tc>
        <w:tc>
          <w:tcPr>
            <w:tcW w:w="3837" w:type="dxa"/>
            <w:tcBorders>
              <w:top w:val="nil"/>
              <w:left w:val="single" w:sz="8" w:space="0" w:color="auto"/>
              <w:bottom w:val="single" w:sz="8" w:space="0" w:color="auto"/>
              <w:right w:val="single" w:sz="8" w:space="0" w:color="auto"/>
            </w:tcBorders>
            <w:shd w:val="clear" w:color="auto" w:fill="auto"/>
            <w:noWrap/>
            <w:vAlign w:val="bottom"/>
            <w:hideMark/>
          </w:tcPr>
          <w:p w14:paraId="197725D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Missions d'observation électorale </w:t>
            </w:r>
          </w:p>
        </w:tc>
        <w:tc>
          <w:tcPr>
            <w:tcW w:w="1415" w:type="dxa"/>
            <w:tcBorders>
              <w:top w:val="nil"/>
              <w:left w:val="nil"/>
              <w:bottom w:val="single" w:sz="8" w:space="0" w:color="auto"/>
              <w:right w:val="single" w:sz="8" w:space="0" w:color="auto"/>
            </w:tcBorders>
            <w:shd w:val="clear" w:color="auto" w:fill="auto"/>
            <w:noWrap/>
            <w:vAlign w:val="bottom"/>
            <w:hideMark/>
          </w:tcPr>
          <w:p w14:paraId="0AF2C9A7"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300 000 </w:t>
            </w:r>
          </w:p>
        </w:tc>
        <w:tc>
          <w:tcPr>
            <w:tcW w:w="1128" w:type="dxa"/>
            <w:tcBorders>
              <w:top w:val="nil"/>
              <w:left w:val="nil"/>
              <w:bottom w:val="single" w:sz="8" w:space="0" w:color="auto"/>
              <w:right w:val="single" w:sz="8" w:space="0" w:color="auto"/>
            </w:tcBorders>
            <w:shd w:val="clear" w:color="auto" w:fill="auto"/>
            <w:noWrap/>
            <w:vAlign w:val="bottom"/>
            <w:hideMark/>
          </w:tcPr>
          <w:p w14:paraId="1F2EAF69"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300000 </w:t>
            </w:r>
          </w:p>
        </w:tc>
        <w:tc>
          <w:tcPr>
            <w:tcW w:w="1543" w:type="dxa"/>
            <w:tcBorders>
              <w:top w:val="nil"/>
              <w:left w:val="nil"/>
              <w:bottom w:val="single" w:sz="8" w:space="0" w:color="auto"/>
              <w:right w:val="single" w:sz="8" w:space="0" w:color="auto"/>
            </w:tcBorders>
            <w:shd w:val="clear" w:color="auto" w:fill="auto"/>
            <w:noWrap/>
            <w:vAlign w:val="bottom"/>
            <w:hideMark/>
          </w:tcPr>
          <w:p w14:paraId="5D0C1B45" w14:textId="77777777" w:rsidR="00077EA8" w:rsidRPr="00077EA8" w:rsidRDefault="00077EA8" w:rsidP="008D6F5A">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w:t>
            </w:r>
            <w:r>
              <w:rPr>
                <w:rFonts w:ascii="Arial Narrow" w:hAnsi="Arial Narrow"/>
                <w:b/>
                <w:bCs/>
                <w:sz w:val="20"/>
              </w:rPr>
              <w:t>-</w:t>
            </w:r>
            <w:r>
              <w:rPr>
                <w:rFonts w:ascii="Arial Narrow" w:hAnsi="Arial Narrow"/>
                <w:b/>
                <w:sz w:val="20"/>
              </w:rPr>
              <w:t xml:space="preserve">   </w:t>
            </w:r>
          </w:p>
        </w:tc>
        <w:tc>
          <w:tcPr>
            <w:tcW w:w="1543" w:type="dxa"/>
            <w:tcBorders>
              <w:top w:val="nil"/>
              <w:left w:val="nil"/>
              <w:bottom w:val="single" w:sz="8" w:space="0" w:color="auto"/>
              <w:right w:val="single" w:sz="8" w:space="0" w:color="auto"/>
            </w:tcBorders>
            <w:shd w:val="clear" w:color="auto" w:fill="auto"/>
            <w:noWrap/>
            <w:vAlign w:val="bottom"/>
            <w:hideMark/>
          </w:tcPr>
          <w:p w14:paraId="347F14E3" w14:textId="77777777" w:rsidR="00077EA8" w:rsidRPr="00077EA8" w:rsidRDefault="00077EA8" w:rsidP="008D6F5A">
            <w:pPr>
              <w:spacing w:after="0" w:line="240" w:lineRule="auto"/>
              <w:jc w:val="right"/>
              <w:rPr>
                <w:rFonts w:ascii="Calibri" w:eastAsia="Times New Roman" w:hAnsi="Calibri" w:cs="Calibri"/>
                <w:b/>
                <w:bCs/>
                <w:sz w:val="20"/>
                <w:szCs w:val="20"/>
              </w:rPr>
            </w:pPr>
            <w:r>
              <w:rPr>
                <w:rFonts w:ascii="Calibri" w:hAnsi="Calibri"/>
                <w:b/>
                <w:sz w:val="20"/>
              </w:rPr>
              <w:t>0%</w:t>
            </w:r>
          </w:p>
        </w:tc>
      </w:tr>
    </w:tbl>
    <w:p w14:paraId="52716AF1" w14:textId="7385704E" w:rsidR="009435A8" w:rsidRDefault="003817D9" w:rsidP="00480C2B">
      <w:pPr>
        <w:pStyle w:val="ListParagraph"/>
        <w:spacing w:after="0" w:line="240" w:lineRule="auto"/>
        <w:ind w:left="0"/>
        <w:jc w:val="both"/>
        <w:rPr>
          <w:rFonts w:ascii="Bookman Old Style" w:hAnsi="Bookman Old Style"/>
          <w:b/>
          <w:sz w:val="24"/>
          <w:szCs w:val="24"/>
        </w:rPr>
      </w:pPr>
      <w:r>
        <w:rPr>
          <w:rFonts w:ascii="Bookman Old Style" w:hAnsi="Bookman Old Style"/>
          <w:b/>
          <w:sz w:val="24"/>
        </w:rPr>
        <w:lastRenderedPageBreak/>
        <w:t>5.6. Dépenses en capital : N$ 145000</w:t>
      </w:r>
    </w:p>
    <w:p w14:paraId="2C94D84C" w14:textId="50F497D3" w:rsidR="009817AD" w:rsidRDefault="009817AD" w:rsidP="00480C2B">
      <w:pPr>
        <w:pStyle w:val="ListParagraph"/>
        <w:spacing w:after="0" w:line="240" w:lineRule="auto"/>
        <w:ind w:left="0"/>
        <w:jc w:val="both"/>
        <w:rPr>
          <w:rFonts w:ascii="Bookman Old Style" w:hAnsi="Bookman Old Style"/>
          <w:b/>
          <w:sz w:val="24"/>
          <w:szCs w:val="24"/>
        </w:rPr>
      </w:pPr>
    </w:p>
    <w:p w14:paraId="202EFBBB" w14:textId="2C7D2130" w:rsidR="00334D30" w:rsidRPr="00DC66E5" w:rsidRDefault="003817D9" w:rsidP="00DC66E5">
      <w:pPr>
        <w:pStyle w:val="ListParagraph"/>
        <w:spacing w:after="0" w:line="240" w:lineRule="auto"/>
        <w:ind w:left="709" w:hanging="709"/>
        <w:jc w:val="both"/>
        <w:rPr>
          <w:rFonts w:ascii="Bookman Old Style" w:hAnsi="Bookman Old Style"/>
          <w:b/>
          <w:sz w:val="24"/>
          <w:szCs w:val="24"/>
        </w:rPr>
      </w:pPr>
      <w:r>
        <w:rPr>
          <w:rFonts w:ascii="Bookman Old Style" w:hAnsi="Bookman Old Style"/>
          <w:sz w:val="24"/>
        </w:rPr>
        <w:t>5.6.1.</w:t>
      </w:r>
      <w:r>
        <w:rPr>
          <w:rFonts w:ascii="Bookman Old Style" w:hAnsi="Bookman Old Style"/>
          <w:sz w:val="24"/>
        </w:rPr>
        <w:tab/>
        <w:t xml:space="preserve">Les dépenses en capital pour le mobilier et l’équipement de bureau ont été prises en compte de manière adéquate dans le budget de l’année écoulée. La disposition n’est pas encore pleinement utilisée. À cet égard, le budget de 2023-2024 prévoit un montant minimal pour le mobilier résidentiel et certains meubles et équipements de bureau. </w:t>
      </w:r>
    </w:p>
    <w:p w14:paraId="002D1977" w14:textId="61FD4D48" w:rsidR="00B71FA6" w:rsidRPr="000866C0" w:rsidRDefault="00B71FA6" w:rsidP="000866C0">
      <w:pPr>
        <w:spacing w:after="0" w:line="240" w:lineRule="auto"/>
        <w:jc w:val="both"/>
        <w:rPr>
          <w:rFonts w:ascii="Bookman Old Style" w:hAnsi="Bookman Old Style"/>
          <w:sz w:val="24"/>
          <w:szCs w:val="24"/>
        </w:rPr>
      </w:pPr>
    </w:p>
    <w:p w14:paraId="2657ECC5" w14:textId="66BAFC57" w:rsidR="00B71FA6" w:rsidRPr="00AA7873" w:rsidRDefault="00B71FA6" w:rsidP="00AA7873">
      <w:pPr>
        <w:pStyle w:val="ListParagraph"/>
        <w:numPr>
          <w:ilvl w:val="1"/>
          <w:numId w:val="34"/>
        </w:numPr>
        <w:spacing w:after="0" w:line="240" w:lineRule="auto"/>
        <w:jc w:val="both"/>
        <w:rPr>
          <w:rFonts w:ascii="Bookman Old Style" w:hAnsi="Bookman Old Style"/>
          <w:b/>
          <w:sz w:val="24"/>
          <w:szCs w:val="24"/>
        </w:rPr>
      </w:pPr>
      <w:r>
        <w:rPr>
          <w:rFonts w:ascii="Bookman Old Style" w:hAnsi="Bookman Old Style"/>
          <w:b/>
          <w:sz w:val="24"/>
        </w:rPr>
        <w:t>Fonds d’urgence N$ 60 000</w:t>
      </w:r>
    </w:p>
    <w:p w14:paraId="16797A6A" w14:textId="6F0003B3" w:rsidR="00D46CAF" w:rsidRPr="008040EC" w:rsidRDefault="00D46CAF" w:rsidP="002003BF">
      <w:pPr>
        <w:spacing w:after="0" w:line="240" w:lineRule="auto"/>
        <w:ind w:left="709"/>
        <w:jc w:val="both"/>
        <w:rPr>
          <w:rFonts w:ascii="Bookman Old Style" w:hAnsi="Bookman Old Style"/>
          <w:sz w:val="24"/>
          <w:szCs w:val="24"/>
        </w:rPr>
      </w:pPr>
      <w:r>
        <w:rPr>
          <w:rFonts w:ascii="Bookman Old Style" w:hAnsi="Bookman Old Style"/>
          <w:sz w:val="24"/>
        </w:rPr>
        <w:t xml:space="preserve">Un montant minimal de N$ 60 000 est prévu pour faire face à toute circonstance imprévue qui pourrait survenir. </w:t>
      </w:r>
    </w:p>
    <w:p w14:paraId="13BE6B08" w14:textId="77777777" w:rsidR="001E25B9" w:rsidRPr="008040EC" w:rsidRDefault="001E25B9" w:rsidP="002003BF">
      <w:pPr>
        <w:spacing w:after="0" w:line="240" w:lineRule="auto"/>
        <w:ind w:left="709" w:hanging="709"/>
        <w:jc w:val="both"/>
        <w:rPr>
          <w:rFonts w:ascii="Bookman Old Style" w:hAnsi="Bookman Old Style"/>
          <w:sz w:val="24"/>
          <w:szCs w:val="24"/>
        </w:rPr>
      </w:pPr>
    </w:p>
    <w:p w14:paraId="2B81716F" w14:textId="200D2E1D" w:rsidR="002B7286" w:rsidRPr="00AA7873" w:rsidRDefault="002B7286" w:rsidP="00AA7873">
      <w:pPr>
        <w:pStyle w:val="ListParagraph"/>
        <w:numPr>
          <w:ilvl w:val="1"/>
          <w:numId w:val="34"/>
        </w:numPr>
        <w:spacing w:after="0" w:line="240" w:lineRule="auto"/>
        <w:jc w:val="both"/>
        <w:rPr>
          <w:rFonts w:ascii="Bookman Old Style" w:hAnsi="Bookman Old Style"/>
          <w:b/>
          <w:bCs/>
          <w:sz w:val="24"/>
          <w:szCs w:val="24"/>
        </w:rPr>
      </w:pPr>
      <w:r>
        <w:rPr>
          <w:rFonts w:ascii="Bookman Old Style" w:hAnsi="Bookman Old Style"/>
          <w:b/>
          <w:sz w:val="24"/>
        </w:rPr>
        <w:t xml:space="preserve">Remboursement du prêt immobilier N$ 456,242 </w:t>
      </w:r>
    </w:p>
    <w:p w14:paraId="797FF7F8" w14:textId="44BE5271" w:rsidR="002B7286" w:rsidRPr="008040EC" w:rsidRDefault="002B7286" w:rsidP="002003BF">
      <w:pPr>
        <w:spacing w:after="0" w:line="240" w:lineRule="auto"/>
        <w:ind w:left="709"/>
        <w:jc w:val="both"/>
        <w:rPr>
          <w:rFonts w:ascii="Bookman Old Style" w:hAnsi="Bookman Old Style"/>
          <w:sz w:val="24"/>
          <w:szCs w:val="24"/>
        </w:rPr>
      </w:pPr>
      <w:bookmarkStart w:id="9" w:name="_Hlk57555372"/>
      <w:r>
        <w:rPr>
          <w:rFonts w:ascii="Bookman Old Style" w:hAnsi="Bookman Old Style"/>
          <w:sz w:val="24"/>
        </w:rPr>
        <w:t>Le montant principal des remboursements du prêt immobilier à Nedbank concernant la résidence officielle du Secrétaire général s'élève à N$ 456 242 en 2023/2024. Les intérêts à payer par an sont prévus sur la ligne budgétaire des charges financières.</w:t>
      </w:r>
    </w:p>
    <w:bookmarkEnd w:id="9"/>
    <w:p w14:paraId="7A6797E6" w14:textId="733B40FF" w:rsidR="004F6D5A" w:rsidRPr="008040EC" w:rsidRDefault="004F6D5A" w:rsidP="004F6D5A">
      <w:pPr>
        <w:spacing w:after="0" w:line="240" w:lineRule="auto"/>
        <w:jc w:val="both"/>
        <w:rPr>
          <w:rFonts w:ascii="Bookman Old Style" w:hAnsi="Bookman Old Style"/>
          <w:sz w:val="24"/>
          <w:szCs w:val="24"/>
        </w:rPr>
      </w:pPr>
    </w:p>
    <w:p w14:paraId="43396CF3" w14:textId="4F00A6D0" w:rsidR="004F6D5A" w:rsidRPr="008040EC" w:rsidRDefault="00AA7873" w:rsidP="004F6D5A">
      <w:pPr>
        <w:spacing w:after="0" w:line="240" w:lineRule="auto"/>
        <w:jc w:val="both"/>
        <w:rPr>
          <w:rFonts w:ascii="Bookman Old Style" w:hAnsi="Bookman Old Style"/>
          <w:b/>
          <w:bCs/>
          <w:sz w:val="24"/>
          <w:szCs w:val="24"/>
        </w:rPr>
      </w:pPr>
      <w:r>
        <w:rPr>
          <w:rFonts w:ascii="Bookman Old Style" w:hAnsi="Bookman Old Style"/>
          <w:b/>
          <w:sz w:val="24"/>
        </w:rPr>
        <w:t>5.9.</w:t>
      </w:r>
      <w:r>
        <w:rPr>
          <w:rFonts w:ascii="Bookman Old Style" w:hAnsi="Bookman Old Style"/>
          <w:b/>
          <w:sz w:val="24"/>
        </w:rPr>
        <w:tab/>
        <w:t>Remboursement du prêt pour véhicule à moteur N$ 205 983</w:t>
      </w:r>
    </w:p>
    <w:p w14:paraId="55B1FDBC" w14:textId="20E0CCF5" w:rsidR="004F6D5A" w:rsidRDefault="004F6D5A" w:rsidP="004F6D5A">
      <w:pPr>
        <w:spacing w:after="0" w:line="240" w:lineRule="auto"/>
        <w:ind w:left="709"/>
        <w:jc w:val="both"/>
        <w:rPr>
          <w:rFonts w:ascii="Bookman Old Style" w:hAnsi="Bookman Old Style"/>
          <w:sz w:val="24"/>
        </w:rPr>
      </w:pPr>
      <w:r>
        <w:rPr>
          <w:rFonts w:ascii="Bookman Old Style" w:hAnsi="Bookman Old Style"/>
          <w:sz w:val="24"/>
        </w:rPr>
        <w:tab/>
        <w:t xml:space="preserve">Un montant annuel de remboursement du prêt de N$ 205,983 sur le montant principal pour le véhicule du Secrétaire Général a été prévu. Les intérêts à payer par an sont prévus sur la ligne budgétaire des charges financières. </w:t>
      </w:r>
    </w:p>
    <w:p w14:paraId="6B238E58" w14:textId="77777777" w:rsidR="008D6F5A" w:rsidRDefault="008D6F5A" w:rsidP="004F6D5A">
      <w:pPr>
        <w:spacing w:after="0" w:line="240" w:lineRule="auto"/>
        <w:ind w:left="709"/>
        <w:jc w:val="both"/>
        <w:rPr>
          <w:rFonts w:ascii="Bookman Old Style" w:hAnsi="Bookman Old Style"/>
          <w:sz w:val="24"/>
          <w:szCs w:val="24"/>
        </w:rPr>
      </w:pPr>
    </w:p>
    <w:p w14:paraId="77AD6871" w14:textId="1DDBB10A" w:rsidR="004B6FC7" w:rsidRPr="00EB6D5C" w:rsidRDefault="00990164" w:rsidP="00EB6D5C">
      <w:pPr>
        <w:pStyle w:val="ListParagraph"/>
        <w:numPr>
          <w:ilvl w:val="0"/>
          <w:numId w:val="35"/>
        </w:numPr>
        <w:spacing w:after="0" w:line="240" w:lineRule="auto"/>
        <w:jc w:val="both"/>
        <w:rPr>
          <w:rFonts w:ascii="Bookman Old Style" w:hAnsi="Bookman Old Style"/>
          <w:b/>
          <w:sz w:val="24"/>
          <w:szCs w:val="24"/>
        </w:rPr>
      </w:pPr>
      <w:r>
        <w:rPr>
          <w:rFonts w:ascii="Bookman Old Style" w:hAnsi="Bookman Old Style"/>
          <w:b/>
          <w:sz w:val="24"/>
        </w:rPr>
        <w:t>CONSIDÉRATIONS CLÉS</w:t>
      </w:r>
    </w:p>
    <w:p w14:paraId="528CAABD" w14:textId="77777777" w:rsidR="00DB46E8" w:rsidRPr="008040EC" w:rsidRDefault="00DB46E8" w:rsidP="002003BF">
      <w:pPr>
        <w:pStyle w:val="ListParagraph"/>
        <w:spacing w:after="0" w:line="240" w:lineRule="auto"/>
        <w:ind w:left="709" w:hanging="709"/>
        <w:jc w:val="both"/>
        <w:rPr>
          <w:rFonts w:ascii="Bookman Old Style" w:hAnsi="Bookman Old Style"/>
          <w:b/>
          <w:sz w:val="24"/>
          <w:szCs w:val="24"/>
        </w:rPr>
      </w:pPr>
    </w:p>
    <w:p w14:paraId="797EFFE1" w14:textId="7C3D21D4" w:rsidR="002F722F" w:rsidRPr="008040EC" w:rsidRDefault="00EB6D5C" w:rsidP="002003BF">
      <w:pPr>
        <w:autoSpaceDE w:val="0"/>
        <w:autoSpaceDN w:val="0"/>
        <w:adjustRightInd w:val="0"/>
        <w:spacing w:after="0" w:line="240" w:lineRule="auto"/>
        <w:ind w:left="709" w:hanging="709"/>
        <w:jc w:val="both"/>
        <w:rPr>
          <w:rFonts w:ascii="Bookman Old Style" w:hAnsi="Bookman Old Style"/>
          <w:b/>
          <w:sz w:val="24"/>
          <w:szCs w:val="24"/>
        </w:rPr>
      </w:pPr>
      <w:r>
        <w:rPr>
          <w:rFonts w:ascii="Bookman Old Style" w:hAnsi="Bookman Old Style"/>
          <w:b/>
          <w:sz w:val="24"/>
        </w:rPr>
        <w:t>6.1.</w:t>
      </w:r>
      <w:r>
        <w:rPr>
          <w:rFonts w:ascii="Bookman Old Style" w:hAnsi="Bookman Old Style"/>
          <w:b/>
          <w:sz w:val="24"/>
        </w:rPr>
        <w:tab/>
        <w:t>Fixation des priorités des activités</w:t>
      </w:r>
    </w:p>
    <w:p w14:paraId="170B780B" w14:textId="6C854991" w:rsidR="006A4500" w:rsidRPr="008040EC" w:rsidRDefault="00EB6D5C" w:rsidP="002003BF">
      <w:pPr>
        <w:autoSpaceDE w:val="0"/>
        <w:autoSpaceDN w:val="0"/>
        <w:adjustRightInd w:val="0"/>
        <w:spacing w:after="0" w:line="240" w:lineRule="auto"/>
        <w:ind w:left="709" w:hanging="709"/>
        <w:jc w:val="both"/>
        <w:rPr>
          <w:rFonts w:ascii="Bookman Old Style" w:hAnsi="Bookman Old Style"/>
          <w:sz w:val="24"/>
          <w:szCs w:val="24"/>
        </w:rPr>
      </w:pPr>
      <w:r>
        <w:rPr>
          <w:rFonts w:ascii="Bookman Old Style" w:hAnsi="Bookman Old Style"/>
          <w:sz w:val="24"/>
        </w:rPr>
        <w:t>6.1.1.</w:t>
      </w:r>
      <w:r>
        <w:rPr>
          <w:rFonts w:ascii="Bookman Old Style" w:hAnsi="Bookman Old Style"/>
          <w:sz w:val="24"/>
        </w:rPr>
        <w:tab/>
        <w:t xml:space="preserve">Au cours de l'exercice 2023/2024, le Forum continuera à restructurer ses opérations afin de devenir plus rentable et plus efficace dans la réalisation de ses activités statutaires et programmatiques. Il est important que les activités statutaires telles que les Assemblées plénières, les réunions du Comité exécutif et du Comité permanent soient tenues sans faute. </w:t>
      </w:r>
    </w:p>
    <w:p w14:paraId="09715E03" w14:textId="77777777" w:rsidR="002003BF" w:rsidRPr="008040EC" w:rsidRDefault="002003BF" w:rsidP="002003BF">
      <w:pPr>
        <w:autoSpaceDE w:val="0"/>
        <w:autoSpaceDN w:val="0"/>
        <w:adjustRightInd w:val="0"/>
        <w:spacing w:after="0" w:line="240" w:lineRule="auto"/>
        <w:ind w:left="709" w:hanging="709"/>
        <w:jc w:val="both"/>
        <w:rPr>
          <w:rFonts w:ascii="Bookman Old Style" w:hAnsi="Bookman Old Style"/>
          <w:sz w:val="24"/>
          <w:szCs w:val="24"/>
        </w:rPr>
      </w:pPr>
    </w:p>
    <w:p w14:paraId="51E24628" w14:textId="584F0DAF" w:rsidR="002F722F" w:rsidRPr="00EB6D5C" w:rsidRDefault="002F722F" w:rsidP="00EB6D5C">
      <w:pPr>
        <w:pStyle w:val="ListParagraph"/>
        <w:numPr>
          <w:ilvl w:val="2"/>
          <w:numId w:val="36"/>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rPr>
        <w:t xml:space="preserve">Il s'agit notamment de veiller à ce que d'autres activités prioritaires, telles que celles visant à la transformation de la PF de la SADC en un Parlement régional, soient également mises en œuvre. </w:t>
      </w:r>
    </w:p>
    <w:p w14:paraId="202731A9" w14:textId="77777777" w:rsidR="002003BF" w:rsidRPr="008040EC" w:rsidRDefault="002003BF" w:rsidP="002003BF">
      <w:pPr>
        <w:pStyle w:val="ListParagraph"/>
        <w:autoSpaceDE w:val="0"/>
        <w:autoSpaceDN w:val="0"/>
        <w:adjustRightInd w:val="0"/>
        <w:spacing w:after="0" w:line="240" w:lineRule="auto"/>
        <w:jc w:val="both"/>
        <w:rPr>
          <w:rFonts w:ascii="Bookman Old Style" w:hAnsi="Bookman Old Style"/>
          <w:sz w:val="24"/>
          <w:szCs w:val="24"/>
        </w:rPr>
      </w:pPr>
    </w:p>
    <w:p w14:paraId="1D21A875" w14:textId="73D87872" w:rsidR="002003BF" w:rsidRPr="00EB6D5C" w:rsidRDefault="002F722F" w:rsidP="00EB6D5C">
      <w:pPr>
        <w:pStyle w:val="ListParagraph"/>
        <w:numPr>
          <w:ilvl w:val="2"/>
          <w:numId w:val="36"/>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rPr>
        <w:t>Un complément de personnel motivé est également essentiel pour atteindre les objectifs du Forum. À cet égard, il est important que la structure salariale continue d'être compétitive et alignée sur celle d'autres institutions de niveau similaire.</w:t>
      </w:r>
    </w:p>
    <w:p w14:paraId="1F1AD613" w14:textId="77777777" w:rsidR="007F012B" w:rsidRPr="007F012B" w:rsidRDefault="007F012B" w:rsidP="007F012B">
      <w:pPr>
        <w:autoSpaceDE w:val="0"/>
        <w:autoSpaceDN w:val="0"/>
        <w:adjustRightInd w:val="0"/>
        <w:spacing w:after="0" w:line="240" w:lineRule="auto"/>
        <w:jc w:val="both"/>
        <w:rPr>
          <w:rFonts w:ascii="Bookman Old Style" w:hAnsi="Bookman Old Style"/>
          <w:sz w:val="24"/>
          <w:szCs w:val="24"/>
        </w:rPr>
      </w:pPr>
    </w:p>
    <w:p w14:paraId="513A8696" w14:textId="75B5E48D" w:rsidR="00CC1843" w:rsidRPr="008040EC" w:rsidRDefault="00CC1843" w:rsidP="00EB6D5C">
      <w:pPr>
        <w:pStyle w:val="ListParagraph"/>
        <w:numPr>
          <w:ilvl w:val="2"/>
          <w:numId w:val="36"/>
        </w:numPr>
        <w:autoSpaceDE w:val="0"/>
        <w:autoSpaceDN w:val="0"/>
        <w:adjustRightInd w:val="0"/>
        <w:spacing w:after="0" w:line="240" w:lineRule="auto"/>
        <w:ind w:left="709" w:hanging="709"/>
        <w:jc w:val="both"/>
        <w:rPr>
          <w:rFonts w:ascii="Bookman Old Style" w:hAnsi="Bookman Old Style"/>
          <w:sz w:val="24"/>
          <w:szCs w:val="24"/>
        </w:rPr>
      </w:pPr>
      <w:r>
        <w:rPr>
          <w:rFonts w:ascii="Bookman Old Style" w:hAnsi="Bookman Old Style"/>
          <w:sz w:val="24"/>
        </w:rPr>
        <w:t xml:space="preserve">Mobilisation de ressources : La mise en œuvre de la stratégie de mobilisation des ressources peut impliquer des réunions avec diverses parties prenantes afin de renforcer les efforts et de garantir les résultats. Malheureusement, le financement par des bailleurs de fonds est nécessaire car le Forum ne peut pas dépendre entièrement des contributions des membres pour ses activités liées au programme. Cela </w:t>
      </w:r>
      <w:r>
        <w:rPr>
          <w:rFonts w:ascii="Bookman Old Style" w:hAnsi="Bookman Old Style"/>
          <w:sz w:val="24"/>
        </w:rPr>
        <w:lastRenderedPageBreak/>
        <w:t>a été clairement démontré dans le budget pour 2023/2024 qui présente un excédent minimal.</w:t>
      </w:r>
    </w:p>
    <w:p w14:paraId="4D4A0447" w14:textId="141A302D" w:rsidR="004658AE" w:rsidRPr="008040EC" w:rsidRDefault="004658AE" w:rsidP="002003BF">
      <w:pPr>
        <w:pStyle w:val="ListParagraph"/>
        <w:autoSpaceDE w:val="0"/>
        <w:autoSpaceDN w:val="0"/>
        <w:adjustRightInd w:val="0"/>
        <w:spacing w:after="0" w:line="240" w:lineRule="auto"/>
        <w:ind w:left="709" w:hanging="709"/>
        <w:jc w:val="both"/>
        <w:rPr>
          <w:rFonts w:ascii="Bookman Old Style" w:hAnsi="Bookman Old Style"/>
          <w:sz w:val="24"/>
          <w:szCs w:val="24"/>
        </w:rPr>
      </w:pPr>
    </w:p>
    <w:p w14:paraId="2B930531" w14:textId="4CEF8236" w:rsidR="00695984" w:rsidRPr="008040EC" w:rsidRDefault="00695984" w:rsidP="00EB6D5C">
      <w:pPr>
        <w:pStyle w:val="ListParagraph"/>
        <w:numPr>
          <w:ilvl w:val="1"/>
          <w:numId w:val="36"/>
        </w:numPr>
        <w:spacing w:after="0" w:line="240" w:lineRule="auto"/>
        <w:ind w:left="709" w:hanging="709"/>
        <w:jc w:val="both"/>
        <w:rPr>
          <w:rFonts w:ascii="Bookman Old Style" w:hAnsi="Bookman Old Style"/>
          <w:b/>
          <w:sz w:val="24"/>
          <w:szCs w:val="24"/>
        </w:rPr>
      </w:pPr>
      <w:r>
        <w:rPr>
          <w:rFonts w:ascii="Bookman Old Style" w:hAnsi="Bookman Old Style"/>
          <w:b/>
          <w:sz w:val="24"/>
        </w:rPr>
        <w:t>Liquidités : Importance du paiement des contributions en temps voulu</w:t>
      </w:r>
    </w:p>
    <w:p w14:paraId="423AE3C5" w14:textId="5BDCCCB3" w:rsidR="004658AE" w:rsidRPr="00E06566" w:rsidRDefault="007B29FF" w:rsidP="00E06566">
      <w:pPr>
        <w:pStyle w:val="ListParagraph"/>
        <w:numPr>
          <w:ilvl w:val="2"/>
          <w:numId w:val="38"/>
        </w:numPr>
        <w:spacing w:after="0" w:line="240" w:lineRule="auto"/>
        <w:jc w:val="both"/>
        <w:rPr>
          <w:rFonts w:ascii="Bookman Old Style" w:hAnsi="Bookman Old Style"/>
          <w:sz w:val="24"/>
          <w:szCs w:val="24"/>
        </w:rPr>
      </w:pPr>
      <w:r w:rsidRPr="00E06566">
        <w:rPr>
          <w:rFonts w:ascii="Bookman Old Style" w:hAnsi="Bookman Old Style"/>
          <w:sz w:val="24"/>
        </w:rPr>
        <w:t xml:space="preserve">Le paiement en temps voulu des contributions annuelles obligatoires est de la plus haute importance. Heureusement, l'année en cours a vu une amélioration du calendrier des paiements et du règlement des soldes en souffrance, une tendance encourageante qui devrait se poursuivre. </w:t>
      </w:r>
    </w:p>
    <w:p w14:paraId="2174E202" w14:textId="77777777" w:rsidR="002003BF" w:rsidRPr="008040EC" w:rsidRDefault="002003BF" w:rsidP="002003BF">
      <w:pPr>
        <w:spacing w:after="0" w:line="240" w:lineRule="auto"/>
        <w:jc w:val="both"/>
        <w:rPr>
          <w:rFonts w:ascii="Bookman Old Style" w:hAnsi="Bookman Old Style"/>
          <w:sz w:val="24"/>
          <w:szCs w:val="24"/>
        </w:rPr>
      </w:pPr>
    </w:p>
    <w:p w14:paraId="1A2648B0" w14:textId="76ED8001" w:rsidR="001926CF" w:rsidRPr="008D6F5A" w:rsidRDefault="004658AE" w:rsidP="00E06566">
      <w:pPr>
        <w:pStyle w:val="ListParagraph"/>
        <w:numPr>
          <w:ilvl w:val="2"/>
          <w:numId w:val="38"/>
        </w:numPr>
        <w:spacing w:after="0" w:line="240" w:lineRule="auto"/>
        <w:jc w:val="both"/>
        <w:rPr>
          <w:rFonts w:ascii="Bookman Old Style" w:hAnsi="Bookman Old Style"/>
          <w:sz w:val="24"/>
          <w:szCs w:val="24"/>
        </w:rPr>
      </w:pPr>
      <w:r w:rsidRPr="00E06566">
        <w:rPr>
          <w:rFonts w:ascii="Bookman Old Style" w:hAnsi="Bookman Old Style"/>
          <w:sz w:val="24"/>
        </w:rPr>
        <w:t xml:space="preserve">Les parlements qui ont des soldes impayés sont exhortés à les régler en priorité pour faciliter une trésorerie saine. Le Comité </w:t>
      </w:r>
      <w:r w:rsidRPr="008D6F5A">
        <w:rPr>
          <w:rFonts w:ascii="Bookman Old Style" w:hAnsi="Bookman Old Style"/>
          <w:sz w:val="24"/>
        </w:rPr>
        <w:t xml:space="preserve">exécutif </w:t>
      </w:r>
      <w:r w:rsidR="00E06566" w:rsidRPr="008D6F5A">
        <w:rPr>
          <w:rFonts w:ascii="Bookman Old Style" w:hAnsi="Bookman Old Style"/>
          <w:sz w:val="24"/>
        </w:rPr>
        <w:t>a été</w:t>
      </w:r>
      <w:r w:rsidRPr="008D6F5A">
        <w:rPr>
          <w:rFonts w:ascii="Bookman Old Style" w:hAnsi="Bookman Old Style"/>
          <w:sz w:val="24"/>
        </w:rPr>
        <w:t xml:space="preserve"> prié de jouer un rôle de médiation à cet égard. </w:t>
      </w:r>
    </w:p>
    <w:p w14:paraId="5178FC10" w14:textId="2FEBCB21" w:rsidR="00D10112" w:rsidRPr="008D6F5A" w:rsidRDefault="00D10112" w:rsidP="00480C2B">
      <w:pPr>
        <w:spacing w:after="0" w:line="240" w:lineRule="auto"/>
        <w:jc w:val="both"/>
        <w:rPr>
          <w:rFonts w:ascii="Bookman Old Style" w:hAnsi="Bookman Old Style"/>
          <w:sz w:val="24"/>
          <w:szCs w:val="24"/>
        </w:rPr>
      </w:pPr>
    </w:p>
    <w:p w14:paraId="0CD5EC31" w14:textId="77777777" w:rsidR="006F4B68" w:rsidRPr="008D6F5A" w:rsidRDefault="006F4B68" w:rsidP="00480C2B">
      <w:pPr>
        <w:spacing w:after="0" w:line="240" w:lineRule="auto"/>
        <w:jc w:val="both"/>
        <w:rPr>
          <w:rFonts w:ascii="Bookman Old Style" w:hAnsi="Bookman Old Style"/>
          <w:sz w:val="24"/>
          <w:szCs w:val="24"/>
        </w:rPr>
      </w:pPr>
    </w:p>
    <w:p w14:paraId="1DFC1419" w14:textId="13EA3380" w:rsidR="002003BF" w:rsidRPr="008D6F5A" w:rsidRDefault="00D10112" w:rsidP="006F4B68">
      <w:pPr>
        <w:pStyle w:val="ListParagraph"/>
        <w:numPr>
          <w:ilvl w:val="0"/>
          <w:numId w:val="37"/>
        </w:numPr>
        <w:spacing w:after="0" w:line="240" w:lineRule="auto"/>
        <w:jc w:val="both"/>
        <w:rPr>
          <w:rFonts w:ascii="Bookman Old Style" w:hAnsi="Bookman Old Style"/>
          <w:b/>
          <w:bCs/>
          <w:sz w:val="24"/>
          <w:szCs w:val="24"/>
        </w:rPr>
      </w:pPr>
      <w:r w:rsidRPr="008D6F5A">
        <w:rPr>
          <w:rFonts w:ascii="Bookman Old Style" w:hAnsi="Bookman Old Style"/>
          <w:b/>
          <w:sz w:val="24"/>
        </w:rPr>
        <w:t xml:space="preserve">DÉCISION DESTINÉE À ÊTRE EXAMINÉE PAR </w:t>
      </w:r>
      <w:r w:rsidR="00E06566" w:rsidRPr="008D6F5A">
        <w:rPr>
          <w:rFonts w:ascii="Bookman Old Style" w:hAnsi="Bookman Old Style"/>
          <w:b/>
          <w:sz w:val="24"/>
        </w:rPr>
        <w:t>L’ASSEMBLÉE PLÉNIÈRE</w:t>
      </w:r>
    </w:p>
    <w:p w14:paraId="483CDAF0" w14:textId="334FF879" w:rsidR="00680EF6" w:rsidRPr="008D6F5A" w:rsidRDefault="00D10112" w:rsidP="002003BF">
      <w:pPr>
        <w:pStyle w:val="ListParagraph"/>
        <w:spacing w:after="0" w:line="240" w:lineRule="auto"/>
        <w:ind w:left="709"/>
        <w:jc w:val="both"/>
        <w:rPr>
          <w:rFonts w:ascii="Bookman Old Style" w:hAnsi="Bookman Old Style"/>
          <w:b/>
          <w:bCs/>
          <w:sz w:val="24"/>
          <w:szCs w:val="24"/>
        </w:rPr>
      </w:pPr>
      <w:r w:rsidRPr="008D6F5A">
        <w:rPr>
          <w:rFonts w:ascii="Bookman Old Style" w:hAnsi="Bookman Old Style"/>
          <w:b/>
          <w:sz w:val="24"/>
        </w:rPr>
        <w:t xml:space="preserve"> </w:t>
      </w:r>
    </w:p>
    <w:p w14:paraId="13C7886A" w14:textId="4E18C0C7" w:rsidR="00680EF6" w:rsidRPr="00E06566" w:rsidRDefault="008E4B09" w:rsidP="00282E2F">
      <w:pPr>
        <w:pStyle w:val="ListParagraph"/>
        <w:spacing w:after="0" w:line="240" w:lineRule="auto"/>
        <w:ind w:left="709"/>
        <w:jc w:val="both"/>
        <w:rPr>
          <w:rFonts w:ascii="Bookman Old Style" w:hAnsi="Bookman Old Style"/>
          <w:strike/>
          <w:sz w:val="24"/>
          <w:szCs w:val="24"/>
        </w:rPr>
      </w:pPr>
      <w:r w:rsidRPr="008D6F5A">
        <w:rPr>
          <w:rFonts w:ascii="Bookman Old Style" w:hAnsi="Bookman Old Style"/>
          <w:b/>
          <w:sz w:val="24"/>
        </w:rPr>
        <w:t>L</w:t>
      </w:r>
      <w:r w:rsidR="00E06566" w:rsidRPr="008D6F5A">
        <w:rPr>
          <w:rFonts w:ascii="Bookman Old Style" w:hAnsi="Bookman Old Style"/>
          <w:b/>
          <w:sz w:val="24"/>
        </w:rPr>
        <w:t>’Assemblée plénière</w:t>
      </w:r>
      <w:r>
        <w:rPr>
          <w:rFonts w:ascii="Bookman Old Style" w:hAnsi="Bookman Old Style"/>
          <w:b/>
          <w:sz w:val="24"/>
        </w:rPr>
        <w:t xml:space="preserve"> est invité</w:t>
      </w:r>
      <w:r w:rsidR="00E06566">
        <w:rPr>
          <w:rFonts w:ascii="Bookman Old Style" w:hAnsi="Bookman Old Style"/>
          <w:b/>
          <w:sz w:val="24"/>
        </w:rPr>
        <w:t>e</w:t>
      </w:r>
      <w:r>
        <w:rPr>
          <w:rFonts w:ascii="Bookman Old Style" w:hAnsi="Bookman Old Style"/>
          <w:b/>
          <w:sz w:val="24"/>
        </w:rPr>
        <w:t xml:space="preserve"> à examiner et à approuver le budget pour l'exercice financier allant du 1</w:t>
      </w:r>
      <w:r>
        <w:rPr>
          <w:rFonts w:ascii="Bookman Old Style" w:hAnsi="Bookman Old Style"/>
          <w:b/>
          <w:sz w:val="24"/>
          <w:vertAlign w:val="superscript"/>
        </w:rPr>
        <w:t>er</w:t>
      </w:r>
      <w:r>
        <w:rPr>
          <w:rFonts w:ascii="Bookman Old Style" w:hAnsi="Bookman Old Style"/>
          <w:b/>
          <w:sz w:val="24"/>
        </w:rPr>
        <w:t xml:space="preserve"> avril 2023 au 31 mars 2024</w:t>
      </w:r>
      <w:r w:rsidR="00E06566">
        <w:rPr>
          <w:rFonts w:ascii="Bookman Old Style" w:hAnsi="Bookman Old Style"/>
          <w:b/>
          <w:sz w:val="24"/>
        </w:rPr>
        <w:t>.</w:t>
      </w:r>
      <w:r>
        <w:rPr>
          <w:rFonts w:ascii="Bookman Old Style" w:hAnsi="Bookman Old Style"/>
          <w:b/>
          <w:sz w:val="24"/>
        </w:rPr>
        <w:t xml:space="preserve"> </w:t>
      </w:r>
    </w:p>
    <w:p w14:paraId="51F18C04" w14:textId="77777777" w:rsidR="00282E2F" w:rsidRPr="008040EC" w:rsidRDefault="00282E2F" w:rsidP="002003BF">
      <w:pPr>
        <w:tabs>
          <w:tab w:val="left" w:pos="450"/>
        </w:tabs>
        <w:spacing w:after="0" w:line="240" w:lineRule="auto"/>
        <w:ind w:left="709"/>
        <w:jc w:val="both"/>
        <w:rPr>
          <w:rFonts w:ascii="Bookman Old Style" w:hAnsi="Bookman Old Style"/>
          <w:sz w:val="24"/>
          <w:szCs w:val="24"/>
        </w:rPr>
      </w:pPr>
    </w:p>
    <w:p w14:paraId="7D53A90E" w14:textId="26A8610B" w:rsidR="008357A8" w:rsidRDefault="008357A8" w:rsidP="009B2C35">
      <w:pPr>
        <w:keepNext/>
        <w:keepLines/>
        <w:tabs>
          <w:tab w:val="left" w:pos="450"/>
        </w:tabs>
        <w:spacing w:after="0" w:line="240" w:lineRule="auto"/>
        <w:ind w:left="709"/>
        <w:jc w:val="both"/>
        <w:rPr>
          <w:rFonts w:ascii="Bookman Old Style" w:hAnsi="Bookman Old Style"/>
          <w:sz w:val="24"/>
          <w:u w:val="single"/>
        </w:rPr>
      </w:pPr>
      <w:r>
        <w:rPr>
          <w:rFonts w:ascii="Bookman Old Style" w:hAnsi="Bookman Old Style"/>
          <w:sz w:val="24"/>
          <w:u w:val="single"/>
        </w:rPr>
        <w:t>Pièces jointes :</w:t>
      </w:r>
    </w:p>
    <w:p w14:paraId="249FB92A" w14:textId="77777777" w:rsidR="008D6F5A" w:rsidRPr="008040EC" w:rsidRDefault="008D6F5A" w:rsidP="009B2C35">
      <w:pPr>
        <w:keepNext/>
        <w:keepLines/>
        <w:tabs>
          <w:tab w:val="left" w:pos="450"/>
        </w:tabs>
        <w:spacing w:after="0" w:line="240" w:lineRule="auto"/>
        <w:ind w:left="709"/>
        <w:jc w:val="both"/>
        <w:rPr>
          <w:rFonts w:ascii="Bookman Old Style" w:hAnsi="Bookman Old Style"/>
          <w:sz w:val="24"/>
          <w:szCs w:val="24"/>
        </w:rPr>
      </w:pPr>
    </w:p>
    <w:p w14:paraId="289B1669" w14:textId="7D4FB208" w:rsidR="008357A8" w:rsidRPr="008040EC" w:rsidRDefault="002B7286" w:rsidP="008D6F5A">
      <w:pPr>
        <w:pStyle w:val="ListParagraph"/>
        <w:keepNext/>
        <w:keepLines/>
        <w:numPr>
          <w:ilvl w:val="0"/>
          <w:numId w:val="16"/>
        </w:numPr>
        <w:tabs>
          <w:tab w:val="left" w:pos="450"/>
        </w:tabs>
        <w:spacing w:after="0" w:line="240" w:lineRule="auto"/>
        <w:ind w:left="1134" w:hanging="425"/>
        <w:jc w:val="both"/>
        <w:rPr>
          <w:rFonts w:ascii="Bookman Old Style" w:hAnsi="Bookman Old Style"/>
          <w:sz w:val="24"/>
          <w:szCs w:val="24"/>
        </w:rPr>
      </w:pPr>
      <w:r>
        <w:rPr>
          <w:rFonts w:ascii="Bookman Old Style" w:hAnsi="Bookman Old Style"/>
          <w:sz w:val="24"/>
        </w:rPr>
        <w:t>Annexe BOO</w:t>
      </w:r>
      <w:proofErr w:type="gramStart"/>
      <w:r>
        <w:rPr>
          <w:rFonts w:ascii="Bookman Old Style" w:hAnsi="Bookman Old Style"/>
          <w:sz w:val="24"/>
        </w:rPr>
        <w:t>1:</w:t>
      </w:r>
      <w:proofErr w:type="gramEnd"/>
      <w:r>
        <w:rPr>
          <w:rFonts w:ascii="Bookman Old Style" w:hAnsi="Bookman Old Style"/>
          <w:sz w:val="24"/>
        </w:rPr>
        <w:t xml:space="preserve"> Résumé du budget </w:t>
      </w:r>
    </w:p>
    <w:p w14:paraId="22844D82" w14:textId="3995FD69" w:rsidR="005018B6" w:rsidRPr="008040EC" w:rsidRDefault="005018B6" w:rsidP="008D6F5A">
      <w:pPr>
        <w:pStyle w:val="ListParagraph"/>
        <w:keepNext/>
        <w:keepLines/>
        <w:numPr>
          <w:ilvl w:val="0"/>
          <w:numId w:val="14"/>
        </w:numPr>
        <w:tabs>
          <w:tab w:val="left" w:pos="450"/>
        </w:tabs>
        <w:spacing w:after="0" w:line="240" w:lineRule="auto"/>
        <w:ind w:left="1134" w:hanging="425"/>
        <w:jc w:val="both"/>
        <w:rPr>
          <w:rFonts w:ascii="Bookman Old Style" w:hAnsi="Bookman Old Style"/>
          <w:sz w:val="24"/>
          <w:szCs w:val="24"/>
        </w:rPr>
      </w:pPr>
      <w:r>
        <w:rPr>
          <w:rFonts w:ascii="Bookman Old Style" w:hAnsi="Bookman Old Style"/>
          <w:sz w:val="24"/>
        </w:rPr>
        <w:t>Annexe B</w:t>
      </w:r>
      <w:proofErr w:type="gramStart"/>
      <w:r>
        <w:rPr>
          <w:rFonts w:ascii="Bookman Old Style" w:hAnsi="Bookman Old Style"/>
          <w:sz w:val="24"/>
        </w:rPr>
        <w:t>002:</w:t>
      </w:r>
      <w:proofErr w:type="gramEnd"/>
      <w:r>
        <w:rPr>
          <w:rFonts w:ascii="Bookman Old Style" w:hAnsi="Bookman Old Style"/>
          <w:sz w:val="24"/>
        </w:rPr>
        <w:t xml:space="preserve"> Tableau des liquidités projetées du 1</w:t>
      </w:r>
      <w:r>
        <w:rPr>
          <w:rFonts w:ascii="Bookman Old Style" w:hAnsi="Bookman Old Style"/>
          <w:sz w:val="24"/>
          <w:vertAlign w:val="superscript"/>
        </w:rPr>
        <w:t>er</w:t>
      </w:r>
      <w:r>
        <w:rPr>
          <w:rFonts w:ascii="Bookman Old Style" w:hAnsi="Bookman Old Style"/>
          <w:sz w:val="24"/>
        </w:rPr>
        <w:t xml:space="preserve"> avril 2023 au 31 mars 2024</w:t>
      </w:r>
    </w:p>
    <w:p w14:paraId="6F472473" w14:textId="45CDFD58" w:rsidR="00680EF6" w:rsidRPr="007127D4" w:rsidRDefault="00E06566" w:rsidP="008D6F5A">
      <w:pPr>
        <w:pStyle w:val="ListParagraph"/>
        <w:numPr>
          <w:ilvl w:val="0"/>
          <w:numId w:val="14"/>
        </w:numPr>
        <w:tabs>
          <w:tab w:val="left" w:pos="450"/>
        </w:tabs>
        <w:spacing w:after="0" w:line="240" w:lineRule="auto"/>
        <w:ind w:left="1134" w:hanging="425"/>
        <w:jc w:val="both"/>
        <w:rPr>
          <w:rFonts w:ascii="Bookman Old Style" w:eastAsia="Times New Roman" w:hAnsi="Bookman Old Style" w:cs="Times New Roman"/>
          <w:bCs/>
          <w:iCs/>
          <w:color w:val="000000"/>
          <w:sz w:val="24"/>
          <w:szCs w:val="24"/>
        </w:rPr>
      </w:pPr>
      <w:r>
        <w:rPr>
          <w:rFonts w:ascii="Bookman Old Style" w:hAnsi="Bookman Old Style"/>
          <w:sz w:val="24"/>
        </w:rPr>
        <w:t>Tableaux</w:t>
      </w:r>
      <w:r w:rsidR="008357A8">
        <w:rPr>
          <w:rFonts w:ascii="Bookman Old Style" w:hAnsi="Bookman Old Style"/>
          <w:sz w:val="24"/>
        </w:rPr>
        <w:t xml:space="preserve"> A à C et 1 à 20 :</w:t>
      </w:r>
      <w:r w:rsidR="008357A8">
        <w:rPr>
          <w:rFonts w:ascii="Bookman Old Style" w:hAnsi="Bookman Old Style"/>
          <w:b/>
          <w:color w:val="000000"/>
          <w:sz w:val="24"/>
        </w:rPr>
        <w:t xml:space="preserve"> </w:t>
      </w:r>
      <w:r w:rsidR="008357A8">
        <w:rPr>
          <w:rFonts w:ascii="Bookman Old Style" w:hAnsi="Bookman Old Style"/>
          <w:sz w:val="24"/>
        </w:rPr>
        <w:t>Tableaux budgétaires détaillés</w:t>
      </w:r>
    </w:p>
    <w:sectPr w:rsidR="00680EF6" w:rsidRPr="007127D4" w:rsidSect="00480C2B">
      <w:headerReference w:type="default" r:id="rId11"/>
      <w:footerReference w:type="default" r:id="rId12"/>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61CE" w14:textId="77777777" w:rsidR="00804518" w:rsidRDefault="00804518" w:rsidP="00441DE4">
      <w:pPr>
        <w:spacing w:after="0" w:line="240" w:lineRule="auto"/>
      </w:pPr>
      <w:r>
        <w:separator/>
      </w:r>
    </w:p>
  </w:endnote>
  <w:endnote w:type="continuationSeparator" w:id="0">
    <w:p w14:paraId="736F339E" w14:textId="77777777" w:rsidR="00804518" w:rsidRDefault="00804518" w:rsidP="0044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venir Heavy">
    <w:altName w:val="Cambria"/>
    <w:charset w:val="00"/>
    <w:family w:val="roman"/>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15516"/>
      <w:docPartObj>
        <w:docPartGallery w:val="Page Numbers (Bottom of Page)"/>
        <w:docPartUnique/>
      </w:docPartObj>
    </w:sdtPr>
    <w:sdtEndPr/>
    <w:sdtContent>
      <w:sdt>
        <w:sdtPr>
          <w:id w:val="1728636285"/>
          <w:docPartObj>
            <w:docPartGallery w:val="Page Numbers (Top of Page)"/>
            <w:docPartUnique/>
          </w:docPartObj>
        </w:sdtPr>
        <w:sdtEndPr/>
        <w:sdtContent>
          <w:p w14:paraId="69CE197F" w14:textId="626D249C" w:rsidR="00182F61" w:rsidRDefault="00182F61">
            <w:pPr>
              <w:pStyle w:val="Footer"/>
              <w:jc w:val="center"/>
            </w:pPr>
            <w:r>
              <w:t xml:space="preserve">Page </w:t>
            </w:r>
            <w:r>
              <w:rPr>
                <w:b/>
                <w:sz w:val="24"/>
              </w:rPr>
              <w:fldChar w:fldCharType="begin"/>
            </w:r>
            <w:r>
              <w:rPr>
                <w:b/>
              </w:rPr>
              <w:instrText xml:space="preserve"> PAGE </w:instrText>
            </w:r>
            <w:r>
              <w:rPr>
                <w:b/>
                <w:sz w:val="24"/>
              </w:rPr>
              <w:fldChar w:fldCharType="separate"/>
            </w:r>
            <w:r>
              <w:rPr>
                <w:b/>
              </w:rPr>
              <w:t>9</w:t>
            </w:r>
            <w:r>
              <w:rPr>
                <w:b/>
                <w:sz w:val="24"/>
              </w:rPr>
              <w:fldChar w:fldCharType="end"/>
            </w:r>
            <w:r>
              <w:t xml:space="preserve"> / </w:t>
            </w:r>
            <w:r>
              <w:rPr>
                <w:b/>
                <w:sz w:val="24"/>
              </w:rPr>
              <w:fldChar w:fldCharType="begin"/>
            </w:r>
            <w:r>
              <w:rPr>
                <w:b/>
              </w:rPr>
              <w:instrText xml:space="preserve"> NUMPAGES  </w:instrText>
            </w:r>
            <w:r>
              <w:rPr>
                <w:b/>
                <w:sz w:val="24"/>
              </w:rPr>
              <w:fldChar w:fldCharType="separate"/>
            </w:r>
            <w:r>
              <w:rPr>
                <w:b/>
              </w:rPr>
              <w:t>9</w:t>
            </w:r>
            <w:r>
              <w:rPr>
                <w:b/>
                <w:sz w:val="24"/>
              </w:rPr>
              <w:fldChar w:fldCharType="end"/>
            </w:r>
          </w:p>
        </w:sdtContent>
      </w:sdt>
    </w:sdtContent>
  </w:sdt>
  <w:p w14:paraId="22B50F7B" w14:textId="77777777" w:rsidR="00182F61" w:rsidRDefault="0018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0BF2" w14:textId="77777777" w:rsidR="00804518" w:rsidRDefault="00804518" w:rsidP="00441DE4">
      <w:pPr>
        <w:spacing w:after="0" w:line="240" w:lineRule="auto"/>
      </w:pPr>
      <w:r>
        <w:separator/>
      </w:r>
    </w:p>
  </w:footnote>
  <w:footnote w:type="continuationSeparator" w:id="0">
    <w:p w14:paraId="208A6EA6" w14:textId="77777777" w:rsidR="00804518" w:rsidRDefault="00804518" w:rsidP="0044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ECCC" w14:textId="67B39000" w:rsidR="001F1C0D" w:rsidRPr="001F1C0D" w:rsidRDefault="001F1C0D" w:rsidP="001F1C0D">
    <w:pPr>
      <w:pStyle w:val="Header"/>
      <w:jc w:val="right"/>
      <w:rPr>
        <w:rFonts w:ascii="Bookman Old Style" w:hAnsi="Bookman Old Style"/>
        <w:i/>
        <w:iCs/>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6A4"/>
    <w:multiLevelType w:val="multilevel"/>
    <w:tmpl w:val="A9F6ADB0"/>
    <w:lvl w:ilvl="0">
      <w:start w:val="4"/>
      <w:numFmt w:val="decimal"/>
      <w:lvlText w:val="%1"/>
      <w:lvlJc w:val="left"/>
      <w:pPr>
        <w:ind w:left="591" w:hanging="591"/>
      </w:pPr>
      <w:rPr>
        <w:rFonts w:hint="default"/>
      </w:rPr>
    </w:lvl>
    <w:lvl w:ilvl="1">
      <w:start w:val="3"/>
      <w:numFmt w:val="decimal"/>
      <w:lvlText w:val="%1.%2"/>
      <w:lvlJc w:val="left"/>
      <w:pPr>
        <w:ind w:left="951" w:hanging="720"/>
      </w:pPr>
      <w:rPr>
        <w:rFonts w:hint="default"/>
      </w:rPr>
    </w:lvl>
    <w:lvl w:ilvl="2">
      <w:start w:val="3"/>
      <w:numFmt w:val="decimal"/>
      <w:lvlText w:val="%1.%2.%3"/>
      <w:lvlJc w:val="left"/>
      <w:pPr>
        <w:ind w:left="1182" w:hanging="720"/>
      </w:pPr>
      <w:rPr>
        <w:rFonts w:hint="default"/>
        <w:b/>
        <w:bCs w:val="0"/>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4008" w:hanging="2160"/>
      </w:pPr>
      <w:rPr>
        <w:rFonts w:hint="default"/>
      </w:rPr>
    </w:lvl>
  </w:abstractNum>
  <w:abstractNum w:abstractNumId="1" w15:restartNumberingAfterBreak="0">
    <w:nsid w:val="0D053833"/>
    <w:multiLevelType w:val="multilevel"/>
    <w:tmpl w:val="9AE4B91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2904EB"/>
    <w:multiLevelType w:val="hybridMultilevel"/>
    <w:tmpl w:val="535C570C"/>
    <w:lvl w:ilvl="0" w:tplc="DA00F276">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19237FD7"/>
    <w:multiLevelType w:val="hybridMultilevel"/>
    <w:tmpl w:val="DE76DFFA"/>
    <w:lvl w:ilvl="0" w:tplc="3F5AD9B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C9E7E63"/>
    <w:multiLevelType w:val="hybridMultilevel"/>
    <w:tmpl w:val="7E8E96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DE1682"/>
    <w:multiLevelType w:val="hybridMultilevel"/>
    <w:tmpl w:val="666A8722"/>
    <w:lvl w:ilvl="0" w:tplc="085E4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63995"/>
    <w:multiLevelType w:val="multilevel"/>
    <w:tmpl w:val="AB7E7F94"/>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726989"/>
    <w:multiLevelType w:val="multilevel"/>
    <w:tmpl w:val="EAD8ECBC"/>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BF7F7B"/>
    <w:multiLevelType w:val="hybridMultilevel"/>
    <w:tmpl w:val="BED2156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2E791676"/>
    <w:multiLevelType w:val="multilevel"/>
    <w:tmpl w:val="C4267FD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B00379A"/>
    <w:multiLevelType w:val="multilevel"/>
    <w:tmpl w:val="A2AC375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0A53519"/>
    <w:multiLevelType w:val="multilevel"/>
    <w:tmpl w:val="9850C758"/>
    <w:lvl w:ilvl="0">
      <w:start w:val="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58D6D1A"/>
    <w:multiLevelType w:val="multilevel"/>
    <w:tmpl w:val="B314982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7597393"/>
    <w:multiLevelType w:val="hybridMultilevel"/>
    <w:tmpl w:val="17685E34"/>
    <w:lvl w:ilvl="0" w:tplc="F912BED8">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4B106AA6"/>
    <w:multiLevelType w:val="hybridMultilevel"/>
    <w:tmpl w:val="3BB87722"/>
    <w:lvl w:ilvl="0" w:tplc="7BF603B2">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4F507E58"/>
    <w:multiLevelType w:val="hybridMultilevel"/>
    <w:tmpl w:val="E1F4E03A"/>
    <w:lvl w:ilvl="0" w:tplc="D7683984">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50F622C8"/>
    <w:multiLevelType w:val="hybridMultilevel"/>
    <w:tmpl w:val="35D0EF66"/>
    <w:lvl w:ilvl="0" w:tplc="FDCE6AF2">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532E58E8"/>
    <w:multiLevelType w:val="hybridMultilevel"/>
    <w:tmpl w:val="5362566E"/>
    <w:lvl w:ilvl="0" w:tplc="76A4F9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400585"/>
    <w:multiLevelType w:val="multilevel"/>
    <w:tmpl w:val="D7E88CA4"/>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D25C87"/>
    <w:multiLevelType w:val="multilevel"/>
    <w:tmpl w:val="BBF671E8"/>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000AC1"/>
    <w:multiLevelType w:val="hybridMultilevel"/>
    <w:tmpl w:val="73923B0C"/>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5B7C6070"/>
    <w:multiLevelType w:val="multilevel"/>
    <w:tmpl w:val="D7FEB26C"/>
    <w:lvl w:ilvl="0">
      <w:start w:val="1"/>
      <w:numFmt w:val="decimal"/>
      <w:lvlText w:val="%1.0"/>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62151D6B"/>
    <w:multiLevelType w:val="hybridMultilevel"/>
    <w:tmpl w:val="479C780A"/>
    <w:lvl w:ilvl="0" w:tplc="0BE80F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73DAC"/>
    <w:multiLevelType w:val="multilevel"/>
    <w:tmpl w:val="763EBDB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5C61F26"/>
    <w:multiLevelType w:val="hybridMultilevel"/>
    <w:tmpl w:val="5002ED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69DC6D30"/>
    <w:multiLevelType w:val="multilevel"/>
    <w:tmpl w:val="5D783B84"/>
    <w:lvl w:ilvl="0">
      <w:start w:val="1"/>
      <w:numFmt w:val="decimal"/>
      <w:lvlText w:val="%1.0."/>
      <w:lvlJc w:val="left"/>
      <w:pPr>
        <w:ind w:left="862" w:hanging="72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AEC3F79"/>
    <w:multiLevelType w:val="multilevel"/>
    <w:tmpl w:val="A29E2674"/>
    <w:lvl w:ilvl="0">
      <w:start w:val="5"/>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B778E1"/>
    <w:multiLevelType w:val="multilevel"/>
    <w:tmpl w:val="EAD8ECBC"/>
    <w:lvl w:ilvl="0">
      <w:start w:val="6"/>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9E0554"/>
    <w:multiLevelType w:val="multilevel"/>
    <w:tmpl w:val="08A88E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39E51FB"/>
    <w:multiLevelType w:val="multilevel"/>
    <w:tmpl w:val="8ED407E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72639F5"/>
    <w:multiLevelType w:val="multilevel"/>
    <w:tmpl w:val="4288D040"/>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7FE16F8"/>
    <w:multiLevelType w:val="multilevel"/>
    <w:tmpl w:val="BD168FA4"/>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54130B"/>
    <w:multiLevelType w:val="hybridMultilevel"/>
    <w:tmpl w:val="8F88CAE6"/>
    <w:lvl w:ilvl="0" w:tplc="04090005">
      <w:start w:val="1"/>
      <w:numFmt w:val="bullet"/>
      <w:lvlText w:val=""/>
      <w:lvlJc w:val="left"/>
      <w:pPr>
        <w:ind w:left="2610" w:hanging="360"/>
      </w:pPr>
      <w:rPr>
        <w:rFonts w:ascii="Wingdings" w:hAnsi="Wingdings" w:hint="default"/>
      </w:rPr>
    </w:lvl>
    <w:lvl w:ilvl="1" w:tplc="08090003" w:tentative="1">
      <w:start w:val="1"/>
      <w:numFmt w:val="bullet"/>
      <w:lvlText w:val="o"/>
      <w:lvlJc w:val="left"/>
      <w:pPr>
        <w:ind w:left="3330" w:hanging="360"/>
      </w:pPr>
      <w:rPr>
        <w:rFonts w:ascii="Courier New" w:hAnsi="Courier New" w:cs="Courier New" w:hint="default"/>
      </w:rPr>
    </w:lvl>
    <w:lvl w:ilvl="2" w:tplc="08090005" w:tentative="1">
      <w:start w:val="1"/>
      <w:numFmt w:val="bullet"/>
      <w:lvlText w:val=""/>
      <w:lvlJc w:val="left"/>
      <w:pPr>
        <w:ind w:left="4050" w:hanging="360"/>
      </w:pPr>
      <w:rPr>
        <w:rFonts w:ascii="Wingdings" w:hAnsi="Wingdings" w:hint="default"/>
      </w:rPr>
    </w:lvl>
    <w:lvl w:ilvl="3" w:tplc="08090001" w:tentative="1">
      <w:start w:val="1"/>
      <w:numFmt w:val="bullet"/>
      <w:lvlText w:val=""/>
      <w:lvlJc w:val="left"/>
      <w:pPr>
        <w:ind w:left="4770" w:hanging="360"/>
      </w:pPr>
      <w:rPr>
        <w:rFonts w:ascii="Symbol" w:hAnsi="Symbol" w:hint="default"/>
      </w:rPr>
    </w:lvl>
    <w:lvl w:ilvl="4" w:tplc="08090003" w:tentative="1">
      <w:start w:val="1"/>
      <w:numFmt w:val="bullet"/>
      <w:lvlText w:val="o"/>
      <w:lvlJc w:val="left"/>
      <w:pPr>
        <w:ind w:left="5490" w:hanging="360"/>
      </w:pPr>
      <w:rPr>
        <w:rFonts w:ascii="Courier New" w:hAnsi="Courier New" w:cs="Courier New" w:hint="default"/>
      </w:rPr>
    </w:lvl>
    <w:lvl w:ilvl="5" w:tplc="08090005" w:tentative="1">
      <w:start w:val="1"/>
      <w:numFmt w:val="bullet"/>
      <w:lvlText w:val=""/>
      <w:lvlJc w:val="left"/>
      <w:pPr>
        <w:ind w:left="6210" w:hanging="360"/>
      </w:pPr>
      <w:rPr>
        <w:rFonts w:ascii="Wingdings" w:hAnsi="Wingdings" w:hint="default"/>
      </w:rPr>
    </w:lvl>
    <w:lvl w:ilvl="6" w:tplc="08090001" w:tentative="1">
      <w:start w:val="1"/>
      <w:numFmt w:val="bullet"/>
      <w:lvlText w:val=""/>
      <w:lvlJc w:val="left"/>
      <w:pPr>
        <w:ind w:left="6930" w:hanging="360"/>
      </w:pPr>
      <w:rPr>
        <w:rFonts w:ascii="Symbol" w:hAnsi="Symbol" w:hint="default"/>
      </w:rPr>
    </w:lvl>
    <w:lvl w:ilvl="7" w:tplc="08090003" w:tentative="1">
      <w:start w:val="1"/>
      <w:numFmt w:val="bullet"/>
      <w:lvlText w:val="o"/>
      <w:lvlJc w:val="left"/>
      <w:pPr>
        <w:ind w:left="7650" w:hanging="360"/>
      </w:pPr>
      <w:rPr>
        <w:rFonts w:ascii="Courier New" w:hAnsi="Courier New" w:cs="Courier New" w:hint="default"/>
      </w:rPr>
    </w:lvl>
    <w:lvl w:ilvl="8" w:tplc="08090005" w:tentative="1">
      <w:start w:val="1"/>
      <w:numFmt w:val="bullet"/>
      <w:lvlText w:val=""/>
      <w:lvlJc w:val="left"/>
      <w:pPr>
        <w:ind w:left="8370" w:hanging="360"/>
      </w:pPr>
      <w:rPr>
        <w:rFonts w:ascii="Wingdings" w:hAnsi="Wingdings" w:hint="default"/>
      </w:rPr>
    </w:lvl>
  </w:abstractNum>
  <w:abstractNum w:abstractNumId="33" w15:restartNumberingAfterBreak="0">
    <w:nsid w:val="79352E03"/>
    <w:multiLevelType w:val="multilevel"/>
    <w:tmpl w:val="DBF02CA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3D4648"/>
    <w:multiLevelType w:val="multilevel"/>
    <w:tmpl w:val="04C8D22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B4E21B2"/>
    <w:multiLevelType w:val="hybridMultilevel"/>
    <w:tmpl w:val="99108894"/>
    <w:lvl w:ilvl="0" w:tplc="F836D720">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7C673C43"/>
    <w:multiLevelType w:val="hybridMultilevel"/>
    <w:tmpl w:val="13F85260"/>
    <w:lvl w:ilvl="0" w:tplc="7BF603B2">
      <w:start w:val="1"/>
      <w:numFmt w:val="bullet"/>
      <w:lvlText w:val=""/>
      <w:lvlJc w:val="left"/>
      <w:pPr>
        <w:ind w:left="720" w:hanging="360"/>
      </w:pPr>
      <w:rPr>
        <w:rFonts w:ascii="Wingdings" w:hAnsi="Wingdings" w:hint="default"/>
      </w:rPr>
    </w:lvl>
    <w:lvl w:ilvl="1" w:tplc="A050BC60">
      <w:start w:val="1"/>
      <w:numFmt w:val="bullet"/>
      <w:lvlText w:val="−"/>
      <w:lvlJc w:val="left"/>
      <w:pPr>
        <w:ind w:left="1440" w:hanging="360"/>
      </w:pPr>
      <w:rPr>
        <w:rFonts w:ascii="Berlin Sans FB" w:hAnsi="Berlin Sans FB" w:hint="default"/>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A723C"/>
    <w:multiLevelType w:val="multilevel"/>
    <w:tmpl w:val="BC6CF17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DB010F6"/>
    <w:multiLevelType w:val="multilevel"/>
    <w:tmpl w:val="D8D861A8"/>
    <w:lvl w:ilvl="0">
      <w:start w:val="5"/>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num w:numId="1">
    <w:abstractNumId w:val="21"/>
  </w:num>
  <w:num w:numId="2">
    <w:abstractNumId w:val="22"/>
  </w:num>
  <w:num w:numId="3">
    <w:abstractNumId w:val="5"/>
  </w:num>
  <w:num w:numId="4">
    <w:abstractNumId w:val="32"/>
  </w:num>
  <w:num w:numId="5">
    <w:abstractNumId w:val="17"/>
  </w:num>
  <w:num w:numId="6">
    <w:abstractNumId w:val="37"/>
  </w:num>
  <w:num w:numId="7">
    <w:abstractNumId w:val="35"/>
  </w:num>
  <w:num w:numId="8">
    <w:abstractNumId w:val="4"/>
  </w:num>
  <w:num w:numId="9">
    <w:abstractNumId w:val="33"/>
  </w:num>
  <w:num w:numId="10">
    <w:abstractNumId w:val="30"/>
  </w:num>
  <w:num w:numId="11">
    <w:abstractNumId w:val="6"/>
  </w:num>
  <w:num w:numId="12">
    <w:abstractNumId w:val="19"/>
  </w:num>
  <w:num w:numId="13">
    <w:abstractNumId w:val="29"/>
  </w:num>
  <w:num w:numId="14">
    <w:abstractNumId w:val="24"/>
  </w:num>
  <w:num w:numId="15">
    <w:abstractNumId w:val="25"/>
  </w:num>
  <w:num w:numId="16">
    <w:abstractNumId w:val="8"/>
  </w:num>
  <w:num w:numId="17">
    <w:abstractNumId w:val="14"/>
  </w:num>
  <w:num w:numId="18">
    <w:abstractNumId w:val="36"/>
  </w:num>
  <w:num w:numId="19">
    <w:abstractNumId w:val="13"/>
  </w:num>
  <w:num w:numId="20">
    <w:abstractNumId w:val="7"/>
  </w:num>
  <w:num w:numId="21">
    <w:abstractNumId w:val="16"/>
  </w:num>
  <w:num w:numId="22">
    <w:abstractNumId w:val="20"/>
  </w:num>
  <w:num w:numId="23">
    <w:abstractNumId w:val="3"/>
  </w:num>
  <w:num w:numId="24">
    <w:abstractNumId w:val="15"/>
  </w:num>
  <w:num w:numId="25">
    <w:abstractNumId w:val="2"/>
  </w:num>
  <w:num w:numId="26">
    <w:abstractNumId w:val="28"/>
  </w:num>
  <w:num w:numId="27">
    <w:abstractNumId w:val="10"/>
  </w:num>
  <w:num w:numId="28">
    <w:abstractNumId w:val="31"/>
  </w:num>
  <w:num w:numId="29">
    <w:abstractNumId w:val="9"/>
  </w:num>
  <w:num w:numId="30">
    <w:abstractNumId w:val="1"/>
  </w:num>
  <w:num w:numId="31">
    <w:abstractNumId w:val="38"/>
  </w:num>
  <w:num w:numId="32">
    <w:abstractNumId w:val="34"/>
  </w:num>
  <w:num w:numId="33">
    <w:abstractNumId w:val="18"/>
  </w:num>
  <w:num w:numId="34">
    <w:abstractNumId w:val="26"/>
  </w:num>
  <w:num w:numId="35">
    <w:abstractNumId w:val="12"/>
  </w:num>
  <w:num w:numId="36">
    <w:abstractNumId w:val="27"/>
  </w:num>
  <w:num w:numId="37">
    <w:abstractNumId w:val="23"/>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437"/>
    <w:rsid w:val="00002104"/>
    <w:rsid w:val="000031C7"/>
    <w:rsid w:val="00004E8B"/>
    <w:rsid w:val="00004F0A"/>
    <w:rsid w:val="00005FDA"/>
    <w:rsid w:val="00012615"/>
    <w:rsid w:val="0001433E"/>
    <w:rsid w:val="00014611"/>
    <w:rsid w:val="000169B8"/>
    <w:rsid w:val="00017AE3"/>
    <w:rsid w:val="00020629"/>
    <w:rsid w:val="0002245F"/>
    <w:rsid w:val="00022882"/>
    <w:rsid w:val="00025C16"/>
    <w:rsid w:val="00026446"/>
    <w:rsid w:val="0002695D"/>
    <w:rsid w:val="00026F5A"/>
    <w:rsid w:val="00027978"/>
    <w:rsid w:val="000320F3"/>
    <w:rsid w:val="000321B1"/>
    <w:rsid w:val="00032833"/>
    <w:rsid w:val="000333C4"/>
    <w:rsid w:val="00033B26"/>
    <w:rsid w:val="000342F5"/>
    <w:rsid w:val="000359BC"/>
    <w:rsid w:val="000430AD"/>
    <w:rsid w:val="00045913"/>
    <w:rsid w:val="00051DF5"/>
    <w:rsid w:val="00052B9A"/>
    <w:rsid w:val="0005737D"/>
    <w:rsid w:val="00057EB5"/>
    <w:rsid w:val="00062689"/>
    <w:rsid w:val="0006311E"/>
    <w:rsid w:val="00065A9A"/>
    <w:rsid w:val="00065BD5"/>
    <w:rsid w:val="00070232"/>
    <w:rsid w:val="00071440"/>
    <w:rsid w:val="00072B56"/>
    <w:rsid w:val="0007672A"/>
    <w:rsid w:val="00076885"/>
    <w:rsid w:val="00077178"/>
    <w:rsid w:val="000779E3"/>
    <w:rsid w:val="00077A84"/>
    <w:rsid w:val="00077EA8"/>
    <w:rsid w:val="00081A66"/>
    <w:rsid w:val="000866C0"/>
    <w:rsid w:val="00090120"/>
    <w:rsid w:val="00090675"/>
    <w:rsid w:val="00092843"/>
    <w:rsid w:val="00092F5F"/>
    <w:rsid w:val="0009466C"/>
    <w:rsid w:val="00095022"/>
    <w:rsid w:val="00096C41"/>
    <w:rsid w:val="000A1CCA"/>
    <w:rsid w:val="000B12B2"/>
    <w:rsid w:val="000B2392"/>
    <w:rsid w:val="000B3790"/>
    <w:rsid w:val="000B4B8D"/>
    <w:rsid w:val="000B601F"/>
    <w:rsid w:val="000B60B8"/>
    <w:rsid w:val="000B6ED6"/>
    <w:rsid w:val="000C090A"/>
    <w:rsid w:val="000C19CB"/>
    <w:rsid w:val="000C1D2D"/>
    <w:rsid w:val="000C3F3F"/>
    <w:rsid w:val="000C566A"/>
    <w:rsid w:val="000C587D"/>
    <w:rsid w:val="000C624B"/>
    <w:rsid w:val="000C728B"/>
    <w:rsid w:val="000C7839"/>
    <w:rsid w:val="000D1FDA"/>
    <w:rsid w:val="000D223C"/>
    <w:rsid w:val="000D3CDE"/>
    <w:rsid w:val="000D5A89"/>
    <w:rsid w:val="000D7334"/>
    <w:rsid w:val="000E0BCE"/>
    <w:rsid w:val="000E156D"/>
    <w:rsid w:val="000E3216"/>
    <w:rsid w:val="000E32A8"/>
    <w:rsid w:val="000E5436"/>
    <w:rsid w:val="000E7DD0"/>
    <w:rsid w:val="000F07D8"/>
    <w:rsid w:val="000F607F"/>
    <w:rsid w:val="00102239"/>
    <w:rsid w:val="001030C6"/>
    <w:rsid w:val="00103234"/>
    <w:rsid w:val="001033B9"/>
    <w:rsid w:val="001061D5"/>
    <w:rsid w:val="0010633E"/>
    <w:rsid w:val="00110944"/>
    <w:rsid w:val="0011293D"/>
    <w:rsid w:val="001134DD"/>
    <w:rsid w:val="00114D60"/>
    <w:rsid w:val="0011511D"/>
    <w:rsid w:val="00115ABB"/>
    <w:rsid w:val="00117734"/>
    <w:rsid w:val="00117ACE"/>
    <w:rsid w:val="001211B6"/>
    <w:rsid w:val="00124BD8"/>
    <w:rsid w:val="001304F9"/>
    <w:rsid w:val="001366E6"/>
    <w:rsid w:val="00141ED7"/>
    <w:rsid w:val="00143EF9"/>
    <w:rsid w:val="0014441C"/>
    <w:rsid w:val="00144C77"/>
    <w:rsid w:val="00146399"/>
    <w:rsid w:val="001464E6"/>
    <w:rsid w:val="0015078A"/>
    <w:rsid w:val="00151AA4"/>
    <w:rsid w:val="00151DC1"/>
    <w:rsid w:val="00153A43"/>
    <w:rsid w:val="00154E3A"/>
    <w:rsid w:val="001553EA"/>
    <w:rsid w:val="0015582D"/>
    <w:rsid w:val="00155CEA"/>
    <w:rsid w:val="00160C9D"/>
    <w:rsid w:val="00161DC0"/>
    <w:rsid w:val="00162834"/>
    <w:rsid w:val="0016643D"/>
    <w:rsid w:val="00172618"/>
    <w:rsid w:val="001736CF"/>
    <w:rsid w:val="0017557D"/>
    <w:rsid w:val="0018263F"/>
    <w:rsid w:val="00182F61"/>
    <w:rsid w:val="00184ED5"/>
    <w:rsid w:val="0018589D"/>
    <w:rsid w:val="00186171"/>
    <w:rsid w:val="001876B9"/>
    <w:rsid w:val="0018789C"/>
    <w:rsid w:val="00190DB8"/>
    <w:rsid w:val="00191362"/>
    <w:rsid w:val="00191D90"/>
    <w:rsid w:val="001926CF"/>
    <w:rsid w:val="00197483"/>
    <w:rsid w:val="00197835"/>
    <w:rsid w:val="001A105E"/>
    <w:rsid w:val="001A40EA"/>
    <w:rsid w:val="001A56DB"/>
    <w:rsid w:val="001B0035"/>
    <w:rsid w:val="001B0859"/>
    <w:rsid w:val="001B1895"/>
    <w:rsid w:val="001B3057"/>
    <w:rsid w:val="001B44B9"/>
    <w:rsid w:val="001B4763"/>
    <w:rsid w:val="001B6D74"/>
    <w:rsid w:val="001D0D5D"/>
    <w:rsid w:val="001D12F3"/>
    <w:rsid w:val="001D2E42"/>
    <w:rsid w:val="001D3231"/>
    <w:rsid w:val="001D39E8"/>
    <w:rsid w:val="001E2367"/>
    <w:rsid w:val="001E25B9"/>
    <w:rsid w:val="001E3117"/>
    <w:rsid w:val="001E4084"/>
    <w:rsid w:val="001F1C0D"/>
    <w:rsid w:val="001F3A87"/>
    <w:rsid w:val="001F7531"/>
    <w:rsid w:val="002003BF"/>
    <w:rsid w:val="00200A52"/>
    <w:rsid w:val="00201ECE"/>
    <w:rsid w:val="00202D8D"/>
    <w:rsid w:val="00207C85"/>
    <w:rsid w:val="00207D68"/>
    <w:rsid w:val="002110BA"/>
    <w:rsid w:val="00212F31"/>
    <w:rsid w:val="00214C44"/>
    <w:rsid w:val="00214EAD"/>
    <w:rsid w:val="00215EAA"/>
    <w:rsid w:val="00215F66"/>
    <w:rsid w:val="0021679C"/>
    <w:rsid w:val="00216DCD"/>
    <w:rsid w:val="00222988"/>
    <w:rsid w:val="00225BFD"/>
    <w:rsid w:val="002263EB"/>
    <w:rsid w:val="00226D76"/>
    <w:rsid w:val="00230015"/>
    <w:rsid w:val="00230D08"/>
    <w:rsid w:val="002336F2"/>
    <w:rsid w:val="0023631F"/>
    <w:rsid w:val="002412BF"/>
    <w:rsid w:val="002445F5"/>
    <w:rsid w:val="00244EFD"/>
    <w:rsid w:val="002462FE"/>
    <w:rsid w:val="00246D5C"/>
    <w:rsid w:val="00254490"/>
    <w:rsid w:val="00255665"/>
    <w:rsid w:val="00256B4E"/>
    <w:rsid w:val="002579F6"/>
    <w:rsid w:val="00257CED"/>
    <w:rsid w:val="00260276"/>
    <w:rsid w:val="00262C0A"/>
    <w:rsid w:val="0026387B"/>
    <w:rsid w:val="00263943"/>
    <w:rsid w:val="00264258"/>
    <w:rsid w:val="0026593B"/>
    <w:rsid w:val="0027093A"/>
    <w:rsid w:val="0027110E"/>
    <w:rsid w:val="00272350"/>
    <w:rsid w:val="00275747"/>
    <w:rsid w:val="00275AC3"/>
    <w:rsid w:val="00276785"/>
    <w:rsid w:val="00276F44"/>
    <w:rsid w:val="002816B7"/>
    <w:rsid w:val="00282E2F"/>
    <w:rsid w:val="00283DCF"/>
    <w:rsid w:val="002856A6"/>
    <w:rsid w:val="00292EEC"/>
    <w:rsid w:val="0029312D"/>
    <w:rsid w:val="0029433C"/>
    <w:rsid w:val="0029607C"/>
    <w:rsid w:val="002A0130"/>
    <w:rsid w:val="002A042B"/>
    <w:rsid w:val="002A49B3"/>
    <w:rsid w:val="002B0144"/>
    <w:rsid w:val="002B0200"/>
    <w:rsid w:val="002B0BF8"/>
    <w:rsid w:val="002B14D6"/>
    <w:rsid w:val="002B273E"/>
    <w:rsid w:val="002B306C"/>
    <w:rsid w:val="002B4F18"/>
    <w:rsid w:val="002B62DF"/>
    <w:rsid w:val="002B6816"/>
    <w:rsid w:val="002B7051"/>
    <w:rsid w:val="002B71DE"/>
    <w:rsid w:val="002B7286"/>
    <w:rsid w:val="002C4A27"/>
    <w:rsid w:val="002C5EE5"/>
    <w:rsid w:val="002C7AD6"/>
    <w:rsid w:val="002D0D6E"/>
    <w:rsid w:val="002D4927"/>
    <w:rsid w:val="002D4FF6"/>
    <w:rsid w:val="002D7009"/>
    <w:rsid w:val="002D7014"/>
    <w:rsid w:val="002D70AD"/>
    <w:rsid w:val="002E2DEC"/>
    <w:rsid w:val="002E55AE"/>
    <w:rsid w:val="002E7F9C"/>
    <w:rsid w:val="002F1CC4"/>
    <w:rsid w:val="002F722F"/>
    <w:rsid w:val="002F73F8"/>
    <w:rsid w:val="0030139E"/>
    <w:rsid w:val="0030244D"/>
    <w:rsid w:val="00310DF8"/>
    <w:rsid w:val="0031244F"/>
    <w:rsid w:val="00312550"/>
    <w:rsid w:val="0031266C"/>
    <w:rsid w:val="003144A7"/>
    <w:rsid w:val="003148D0"/>
    <w:rsid w:val="003149F6"/>
    <w:rsid w:val="00314A33"/>
    <w:rsid w:val="00315325"/>
    <w:rsid w:val="00315361"/>
    <w:rsid w:val="00316A41"/>
    <w:rsid w:val="00321315"/>
    <w:rsid w:val="00321F92"/>
    <w:rsid w:val="003233FE"/>
    <w:rsid w:val="00326461"/>
    <w:rsid w:val="003274B0"/>
    <w:rsid w:val="0032791B"/>
    <w:rsid w:val="00327E41"/>
    <w:rsid w:val="00330E51"/>
    <w:rsid w:val="003318A8"/>
    <w:rsid w:val="00333208"/>
    <w:rsid w:val="00333C45"/>
    <w:rsid w:val="00334172"/>
    <w:rsid w:val="00334D30"/>
    <w:rsid w:val="003372E0"/>
    <w:rsid w:val="003375DD"/>
    <w:rsid w:val="00337665"/>
    <w:rsid w:val="00340598"/>
    <w:rsid w:val="0034677E"/>
    <w:rsid w:val="003471FA"/>
    <w:rsid w:val="00352C2D"/>
    <w:rsid w:val="00352D66"/>
    <w:rsid w:val="00356405"/>
    <w:rsid w:val="003565CE"/>
    <w:rsid w:val="0036314E"/>
    <w:rsid w:val="00365E89"/>
    <w:rsid w:val="00366203"/>
    <w:rsid w:val="00370E51"/>
    <w:rsid w:val="003713DF"/>
    <w:rsid w:val="00374260"/>
    <w:rsid w:val="00374764"/>
    <w:rsid w:val="0037575A"/>
    <w:rsid w:val="00377D90"/>
    <w:rsid w:val="00381093"/>
    <w:rsid w:val="0038117C"/>
    <w:rsid w:val="003817D9"/>
    <w:rsid w:val="00381FEB"/>
    <w:rsid w:val="00382BC3"/>
    <w:rsid w:val="003877CB"/>
    <w:rsid w:val="003909F8"/>
    <w:rsid w:val="003943E2"/>
    <w:rsid w:val="00396103"/>
    <w:rsid w:val="003A0992"/>
    <w:rsid w:val="003A0B37"/>
    <w:rsid w:val="003A11E3"/>
    <w:rsid w:val="003A7E24"/>
    <w:rsid w:val="003A7EE0"/>
    <w:rsid w:val="003B1586"/>
    <w:rsid w:val="003B18A2"/>
    <w:rsid w:val="003B21E2"/>
    <w:rsid w:val="003B382B"/>
    <w:rsid w:val="003B4D57"/>
    <w:rsid w:val="003B76EF"/>
    <w:rsid w:val="003B770D"/>
    <w:rsid w:val="003C0497"/>
    <w:rsid w:val="003C1D37"/>
    <w:rsid w:val="003C3170"/>
    <w:rsid w:val="003C4FCF"/>
    <w:rsid w:val="003C5268"/>
    <w:rsid w:val="003C529A"/>
    <w:rsid w:val="003D042C"/>
    <w:rsid w:val="003D1BA3"/>
    <w:rsid w:val="003D56C5"/>
    <w:rsid w:val="003D740A"/>
    <w:rsid w:val="003E1254"/>
    <w:rsid w:val="003E1386"/>
    <w:rsid w:val="003E1B91"/>
    <w:rsid w:val="003E1EB8"/>
    <w:rsid w:val="003E51B6"/>
    <w:rsid w:val="003E6312"/>
    <w:rsid w:val="003E6AC7"/>
    <w:rsid w:val="003F0F41"/>
    <w:rsid w:val="003F208A"/>
    <w:rsid w:val="003F3D67"/>
    <w:rsid w:val="003F62F0"/>
    <w:rsid w:val="0040371F"/>
    <w:rsid w:val="00405850"/>
    <w:rsid w:val="00406E52"/>
    <w:rsid w:val="00406F03"/>
    <w:rsid w:val="00407F93"/>
    <w:rsid w:val="0041072E"/>
    <w:rsid w:val="004165BE"/>
    <w:rsid w:val="00417498"/>
    <w:rsid w:val="004219AF"/>
    <w:rsid w:val="004219E0"/>
    <w:rsid w:val="00421F31"/>
    <w:rsid w:val="004232D8"/>
    <w:rsid w:val="004251B1"/>
    <w:rsid w:val="00425802"/>
    <w:rsid w:val="004258F5"/>
    <w:rsid w:val="00435B0F"/>
    <w:rsid w:val="004408CF"/>
    <w:rsid w:val="00441DE4"/>
    <w:rsid w:val="00442802"/>
    <w:rsid w:val="00443DD2"/>
    <w:rsid w:val="00445FB6"/>
    <w:rsid w:val="00446CF5"/>
    <w:rsid w:val="00450060"/>
    <w:rsid w:val="00450483"/>
    <w:rsid w:val="00451250"/>
    <w:rsid w:val="0045466E"/>
    <w:rsid w:val="004548E1"/>
    <w:rsid w:val="00454EEF"/>
    <w:rsid w:val="00456142"/>
    <w:rsid w:val="00456C2C"/>
    <w:rsid w:val="00456F9A"/>
    <w:rsid w:val="004617BF"/>
    <w:rsid w:val="00462879"/>
    <w:rsid w:val="00464AC7"/>
    <w:rsid w:val="004658AE"/>
    <w:rsid w:val="004677A4"/>
    <w:rsid w:val="004729FA"/>
    <w:rsid w:val="004778DC"/>
    <w:rsid w:val="00480C2B"/>
    <w:rsid w:val="004858C3"/>
    <w:rsid w:val="004865CC"/>
    <w:rsid w:val="00487080"/>
    <w:rsid w:val="004909EA"/>
    <w:rsid w:val="004915EB"/>
    <w:rsid w:val="0049373C"/>
    <w:rsid w:val="00493C5C"/>
    <w:rsid w:val="004964D0"/>
    <w:rsid w:val="00496AEB"/>
    <w:rsid w:val="004A0462"/>
    <w:rsid w:val="004A0A4A"/>
    <w:rsid w:val="004A16A0"/>
    <w:rsid w:val="004A1BDC"/>
    <w:rsid w:val="004A1C0A"/>
    <w:rsid w:val="004A596E"/>
    <w:rsid w:val="004A6256"/>
    <w:rsid w:val="004A64AA"/>
    <w:rsid w:val="004B0C4F"/>
    <w:rsid w:val="004B1E30"/>
    <w:rsid w:val="004B663E"/>
    <w:rsid w:val="004B6FC7"/>
    <w:rsid w:val="004B7010"/>
    <w:rsid w:val="004C00AB"/>
    <w:rsid w:val="004C01C5"/>
    <w:rsid w:val="004C061C"/>
    <w:rsid w:val="004C0CFE"/>
    <w:rsid w:val="004C210E"/>
    <w:rsid w:val="004C21F8"/>
    <w:rsid w:val="004C4559"/>
    <w:rsid w:val="004C5197"/>
    <w:rsid w:val="004C7A9A"/>
    <w:rsid w:val="004D0813"/>
    <w:rsid w:val="004D13F2"/>
    <w:rsid w:val="004D343E"/>
    <w:rsid w:val="004D35C5"/>
    <w:rsid w:val="004D6BCA"/>
    <w:rsid w:val="004E009C"/>
    <w:rsid w:val="004F697D"/>
    <w:rsid w:val="004F6D5A"/>
    <w:rsid w:val="004F7BE9"/>
    <w:rsid w:val="0050001E"/>
    <w:rsid w:val="00500D93"/>
    <w:rsid w:val="005015A9"/>
    <w:rsid w:val="005018B6"/>
    <w:rsid w:val="00502132"/>
    <w:rsid w:val="00503EF6"/>
    <w:rsid w:val="00505C7E"/>
    <w:rsid w:val="00511460"/>
    <w:rsid w:val="00512A81"/>
    <w:rsid w:val="00514C8F"/>
    <w:rsid w:val="00514FA6"/>
    <w:rsid w:val="00520623"/>
    <w:rsid w:val="005224AD"/>
    <w:rsid w:val="0052511D"/>
    <w:rsid w:val="00525D7E"/>
    <w:rsid w:val="005260AA"/>
    <w:rsid w:val="00527D0D"/>
    <w:rsid w:val="00530B22"/>
    <w:rsid w:val="00531470"/>
    <w:rsid w:val="0053393C"/>
    <w:rsid w:val="00534AA9"/>
    <w:rsid w:val="00536796"/>
    <w:rsid w:val="00536921"/>
    <w:rsid w:val="005374A9"/>
    <w:rsid w:val="005431A5"/>
    <w:rsid w:val="00544157"/>
    <w:rsid w:val="00544296"/>
    <w:rsid w:val="005442E0"/>
    <w:rsid w:val="005447CC"/>
    <w:rsid w:val="00547D5D"/>
    <w:rsid w:val="0055404C"/>
    <w:rsid w:val="00557B17"/>
    <w:rsid w:val="00561C53"/>
    <w:rsid w:val="005645ED"/>
    <w:rsid w:val="00565C17"/>
    <w:rsid w:val="005664BC"/>
    <w:rsid w:val="005701AC"/>
    <w:rsid w:val="00570316"/>
    <w:rsid w:val="0057321A"/>
    <w:rsid w:val="00573B1A"/>
    <w:rsid w:val="00577B2E"/>
    <w:rsid w:val="00577CA6"/>
    <w:rsid w:val="00577FFD"/>
    <w:rsid w:val="0058092E"/>
    <w:rsid w:val="0058133E"/>
    <w:rsid w:val="005818DD"/>
    <w:rsid w:val="005872DE"/>
    <w:rsid w:val="0058761A"/>
    <w:rsid w:val="005925DF"/>
    <w:rsid w:val="00593311"/>
    <w:rsid w:val="0059351D"/>
    <w:rsid w:val="005940F7"/>
    <w:rsid w:val="005949E5"/>
    <w:rsid w:val="0059737C"/>
    <w:rsid w:val="005A09A1"/>
    <w:rsid w:val="005A3E76"/>
    <w:rsid w:val="005A50C6"/>
    <w:rsid w:val="005A516B"/>
    <w:rsid w:val="005A54CD"/>
    <w:rsid w:val="005A5B5C"/>
    <w:rsid w:val="005A7919"/>
    <w:rsid w:val="005B0782"/>
    <w:rsid w:val="005B2E9F"/>
    <w:rsid w:val="005B3F43"/>
    <w:rsid w:val="005B411C"/>
    <w:rsid w:val="005B7129"/>
    <w:rsid w:val="005B761A"/>
    <w:rsid w:val="005C0C95"/>
    <w:rsid w:val="005C2310"/>
    <w:rsid w:val="005C2729"/>
    <w:rsid w:val="005C3D60"/>
    <w:rsid w:val="005C445B"/>
    <w:rsid w:val="005C47DC"/>
    <w:rsid w:val="005D03C3"/>
    <w:rsid w:val="005D102D"/>
    <w:rsid w:val="005D27F4"/>
    <w:rsid w:val="005D49CA"/>
    <w:rsid w:val="005D5BDA"/>
    <w:rsid w:val="005D7317"/>
    <w:rsid w:val="005E131F"/>
    <w:rsid w:val="005E1DE5"/>
    <w:rsid w:val="005E3C42"/>
    <w:rsid w:val="005E477C"/>
    <w:rsid w:val="005E5495"/>
    <w:rsid w:val="005E6F33"/>
    <w:rsid w:val="005F3160"/>
    <w:rsid w:val="005F45BE"/>
    <w:rsid w:val="00601708"/>
    <w:rsid w:val="00601849"/>
    <w:rsid w:val="0060328C"/>
    <w:rsid w:val="00605CC3"/>
    <w:rsid w:val="00610C92"/>
    <w:rsid w:val="00626E9B"/>
    <w:rsid w:val="00630B4A"/>
    <w:rsid w:val="00634021"/>
    <w:rsid w:val="00637761"/>
    <w:rsid w:val="006412D9"/>
    <w:rsid w:val="00641B45"/>
    <w:rsid w:val="00642587"/>
    <w:rsid w:val="0064379F"/>
    <w:rsid w:val="006440BE"/>
    <w:rsid w:val="0064540C"/>
    <w:rsid w:val="00647258"/>
    <w:rsid w:val="00652021"/>
    <w:rsid w:val="00652379"/>
    <w:rsid w:val="00660F32"/>
    <w:rsid w:val="006625CB"/>
    <w:rsid w:val="00662FF2"/>
    <w:rsid w:val="00664401"/>
    <w:rsid w:val="006652CF"/>
    <w:rsid w:val="006674E4"/>
    <w:rsid w:val="0067097C"/>
    <w:rsid w:val="00671528"/>
    <w:rsid w:val="00673125"/>
    <w:rsid w:val="006748C7"/>
    <w:rsid w:val="00680CB3"/>
    <w:rsid w:val="00680EF6"/>
    <w:rsid w:val="00684E1E"/>
    <w:rsid w:val="006865B5"/>
    <w:rsid w:val="00686B8D"/>
    <w:rsid w:val="00687929"/>
    <w:rsid w:val="006900A2"/>
    <w:rsid w:val="00690ED6"/>
    <w:rsid w:val="00692D5F"/>
    <w:rsid w:val="0069311B"/>
    <w:rsid w:val="006942FF"/>
    <w:rsid w:val="00695435"/>
    <w:rsid w:val="00695984"/>
    <w:rsid w:val="006979FA"/>
    <w:rsid w:val="006A0643"/>
    <w:rsid w:val="006A4500"/>
    <w:rsid w:val="006A4793"/>
    <w:rsid w:val="006A51F6"/>
    <w:rsid w:val="006A62D9"/>
    <w:rsid w:val="006A778F"/>
    <w:rsid w:val="006B0E7D"/>
    <w:rsid w:val="006B12E5"/>
    <w:rsid w:val="006B2497"/>
    <w:rsid w:val="006B2BF0"/>
    <w:rsid w:val="006B6D3A"/>
    <w:rsid w:val="006B78DE"/>
    <w:rsid w:val="006C031A"/>
    <w:rsid w:val="006C2308"/>
    <w:rsid w:val="006C324A"/>
    <w:rsid w:val="006C74AE"/>
    <w:rsid w:val="006D0AAC"/>
    <w:rsid w:val="006D3735"/>
    <w:rsid w:val="006E4C23"/>
    <w:rsid w:val="006E549A"/>
    <w:rsid w:val="006E7208"/>
    <w:rsid w:val="006F1FCB"/>
    <w:rsid w:val="006F341F"/>
    <w:rsid w:val="006F4B68"/>
    <w:rsid w:val="006F55B7"/>
    <w:rsid w:val="0070011E"/>
    <w:rsid w:val="00700BA4"/>
    <w:rsid w:val="00702C12"/>
    <w:rsid w:val="0070307A"/>
    <w:rsid w:val="0070400B"/>
    <w:rsid w:val="0070457E"/>
    <w:rsid w:val="00704AB3"/>
    <w:rsid w:val="00705831"/>
    <w:rsid w:val="00706BFD"/>
    <w:rsid w:val="007107EF"/>
    <w:rsid w:val="00711814"/>
    <w:rsid w:val="007127D4"/>
    <w:rsid w:val="0071363A"/>
    <w:rsid w:val="00717359"/>
    <w:rsid w:val="00721854"/>
    <w:rsid w:val="007233ED"/>
    <w:rsid w:val="00723455"/>
    <w:rsid w:val="00724805"/>
    <w:rsid w:val="00725B62"/>
    <w:rsid w:val="00725CA1"/>
    <w:rsid w:val="0073557B"/>
    <w:rsid w:val="00737ADC"/>
    <w:rsid w:val="00741833"/>
    <w:rsid w:val="00742330"/>
    <w:rsid w:val="0074308C"/>
    <w:rsid w:val="0074362B"/>
    <w:rsid w:val="00743DFD"/>
    <w:rsid w:val="007440A0"/>
    <w:rsid w:val="00746756"/>
    <w:rsid w:val="00747249"/>
    <w:rsid w:val="00750910"/>
    <w:rsid w:val="007522E5"/>
    <w:rsid w:val="00754BCC"/>
    <w:rsid w:val="00754BEA"/>
    <w:rsid w:val="00760313"/>
    <w:rsid w:val="007609D9"/>
    <w:rsid w:val="00762060"/>
    <w:rsid w:val="00764BFC"/>
    <w:rsid w:val="00772252"/>
    <w:rsid w:val="00776A2E"/>
    <w:rsid w:val="0077791E"/>
    <w:rsid w:val="00777C33"/>
    <w:rsid w:val="007809A7"/>
    <w:rsid w:val="00780F49"/>
    <w:rsid w:val="00791999"/>
    <w:rsid w:val="0079315E"/>
    <w:rsid w:val="00793AE0"/>
    <w:rsid w:val="00794787"/>
    <w:rsid w:val="00794E70"/>
    <w:rsid w:val="00794F3C"/>
    <w:rsid w:val="007964CE"/>
    <w:rsid w:val="007A20CC"/>
    <w:rsid w:val="007A2EE9"/>
    <w:rsid w:val="007A3336"/>
    <w:rsid w:val="007B29FF"/>
    <w:rsid w:val="007B34F8"/>
    <w:rsid w:val="007C54F0"/>
    <w:rsid w:val="007C6E44"/>
    <w:rsid w:val="007C74AD"/>
    <w:rsid w:val="007C7974"/>
    <w:rsid w:val="007D202D"/>
    <w:rsid w:val="007D2047"/>
    <w:rsid w:val="007D4E8D"/>
    <w:rsid w:val="007D573E"/>
    <w:rsid w:val="007D6659"/>
    <w:rsid w:val="007D76BB"/>
    <w:rsid w:val="007E0245"/>
    <w:rsid w:val="007E0536"/>
    <w:rsid w:val="007E1333"/>
    <w:rsid w:val="007E60AB"/>
    <w:rsid w:val="007F012B"/>
    <w:rsid w:val="007F10F3"/>
    <w:rsid w:val="007F3FF5"/>
    <w:rsid w:val="007F537B"/>
    <w:rsid w:val="007F6A7C"/>
    <w:rsid w:val="007F6BD4"/>
    <w:rsid w:val="008040EC"/>
    <w:rsid w:val="00804518"/>
    <w:rsid w:val="008058BB"/>
    <w:rsid w:val="00805C53"/>
    <w:rsid w:val="00805CE1"/>
    <w:rsid w:val="00805E07"/>
    <w:rsid w:val="00806377"/>
    <w:rsid w:val="00807413"/>
    <w:rsid w:val="00812742"/>
    <w:rsid w:val="00812F91"/>
    <w:rsid w:val="00815D3B"/>
    <w:rsid w:val="008169DF"/>
    <w:rsid w:val="00817A5F"/>
    <w:rsid w:val="00822E59"/>
    <w:rsid w:val="00823F32"/>
    <w:rsid w:val="008249D4"/>
    <w:rsid w:val="00824D93"/>
    <w:rsid w:val="008258F1"/>
    <w:rsid w:val="0083076A"/>
    <w:rsid w:val="008309EB"/>
    <w:rsid w:val="00832C23"/>
    <w:rsid w:val="008357A8"/>
    <w:rsid w:val="00842886"/>
    <w:rsid w:val="008453C8"/>
    <w:rsid w:val="008455A4"/>
    <w:rsid w:val="00845811"/>
    <w:rsid w:val="008467F8"/>
    <w:rsid w:val="00846ABA"/>
    <w:rsid w:val="008502F5"/>
    <w:rsid w:val="008531D0"/>
    <w:rsid w:val="00853DD3"/>
    <w:rsid w:val="00854D5F"/>
    <w:rsid w:val="00855852"/>
    <w:rsid w:val="00856A41"/>
    <w:rsid w:val="00861179"/>
    <w:rsid w:val="00865917"/>
    <w:rsid w:val="008662F7"/>
    <w:rsid w:val="00866B0C"/>
    <w:rsid w:val="008678FA"/>
    <w:rsid w:val="008701D2"/>
    <w:rsid w:val="00871019"/>
    <w:rsid w:val="00872835"/>
    <w:rsid w:val="0087439E"/>
    <w:rsid w:val="00880A90"/>
    <w:rsid w:val="00880AF8"/>
    <w:rsid w:val="00882DCC"/>
    <w:rsid w:val="00885EC0"/>
    <w:rsid w:val="00887169"/>
    <w:rsid w:val="008911D0"/>
    <w:rsid w:val="008922D9"/>
    <w:rsid w:val="00893ADE"/>
    <w:rsid w:val="00894417"/>
    <w:rsid w:val="0089630F"/>
    <w:rsid w:val="00897D24"/>
    <w:rsid w:val="008A0BDA"/>
    <w:rsid w:val="008A0D91"/>
    <w:rsid w:val="008A4928"/>
    <w:rsid w:val="008A661C"/>
    <w:rsid w:val="008A70B2"/>
    <w:rsid w:val="008A7BAC"/>
    <w:rsid w:val="008B24DC"/>
    <w:rsid w:val="008B56F3"/>
    <w:rsid w:val="008C04C3"/>
    <w:rsid w:val="008C1AE1"/>
    <w:rsid w:val="008C407C"/>
    <w:rsid w:val="008C73DA"/>
    <w:rsid w:val="008D138A"/>
    <w:rsid w:val="008D13C2"/>
    <w:rsid w:val="008D39B7"/>
    <w:rsid w:val="008D6F5A"/>
    <w:rsid w:val="008D7A18"/>
    <w:rsid w:val="008D7EBB"/>
    <w:rsid w:val="008E00C8"/>
    <w:rsid w:val="008E171C"/>
    <w:rsid w:val="008E2E95"/>
    <w:rsid w:val="008E3C2B"/>
    <w:rsid w:val="008E4319"/>
    <w:rsid w:val="008E4B09"/>
    <w:rsid w:val="008E5A34"/>
    <w:rsid w:val="008E660B"/>
    <w:rsid w:val="008E6862"/>
    <w:rsid w:val="008E7002"/>
    <w:rsid w:val="008E7BC0"/>
    <w:rsid w:val="008F59FA"/>
    <w:rsid w:val="008F6766"/>
    <w:rsid w:val="008F7500"/>
    <w:rsid w:val="009000B7"/>
    <w:rsid w:val="00901CE9"/>
    <w:rsid w:val="009023D5"/>
    <w:rsid w:val="00904E0B"/>
    <w:rsid w:val="009105A1"/>
    <w:rsid w:val="009105AC"/>
    <w:rsid w:val="009148A3"/>
    <w:rsid w:val="00924848"/>
    <w:rsid w:val="00926724"/>
    <w:rsid w:val="009319B5"/>
    <w:rsid w:val="00932650"/>
    <w:rsid w:val="00936C37"/>
    <w:rsid w:val="00937529"/>
    <w:rsid w:val="009435A8"/>
    <w:rsid w:val="00943F92"/>
    <w:rsid w:val="009449E7"/>
    <w:rsid w:val="00944F3B"/>
    <w:rsid w:val="009453F6"/>
    <w:rsid w:val="00945ABC"/>
    <w:rsid w:val="00945DC5"/>
    <w:rsid w:val="00947206"/>
    <w:rsid w:val="00947C4E"/>
    <w:rsid w:val="0095114D"/>
    <w:rsid w:val="009515F2"/>
    <w:rsid w:val="00952D07"/>
    <w:rsid w:val="009535AE"/>
    <w:rsid w:val="00953AAA"/>
    <w:rsid w:val="00953C97"/>
    <w:rsid w:val="00956BA8"/>
    <w:rsid w:val="00957412"/>
    <w:rsid w:val="00957813"/>
    <w:rsid w:val="009605F8"/>
    <w:rsid w:val="009606A6"/>
    <w:rsid w:val="00962564"/>
    <w:rsid w:val="0096363B"/>
    <w:rsid w:val="009679A3"/>
    <w:rsid w:val="00967DE0"/>
    <w:rsid w:val="00970F78"/>
    <w:rsid w:val="00973783"/>
    <w:rsid w:val="0097683B"/>
    <w:rsid w:val="009817AD"/>
    <w:rsid w:val="00985388"/>
    <w:rsid w:val="00987836"/>
    <w:rsid w:val="00990164"/>
    <w:rsid w:val="00990220"/>
    <w:rsid w:val="00990E2D"/>
    <w:rsid w:val="00993044"/>
    <w:rsid w:val="00994296"/>
    <w:rsid w:val="009944B2"/>
    <w:rsid w:val="00995BDA"/>
    <w:rsid w:val="00996094"/>
    <w:rsid w:val="009A0F2E"/>
    <w:rsid w:val="009A2793"/>
    <w:rsid w:val="009A362E"/>
    <w:rsid w:val="009A600C"/>
    <w:rsid w:val="009A6619"/>
    <w:rsid w:val="009B0CE3"/>
    <w:rsid w:val="009B19E6"/>
    <w:rsid w:val="009B2842"/>
    <w:rsid w:val="009B2C35"/>
    <w:rsid w:val="009B329B"/>
    <w:rsid w:val="009B334F"/>
    <w:rsid w:val="009B4224"/>
    <w:rsid w:val="009B4F90"/>
    <w:rsid w:val="009B5FC4"/>
    <w:rsid w:val="009B6AE6"/>
    <w:rsid w:val="009B7C6F"/>
    <w:rsid w:val="009C02DB"/>
    <w:rsid w:val="009C0731"/>
    <w:rsid w:val="009C09C7"/>
    <w:rsid w:val="009C3413"/>
    <w:rsid w:val="009C4C9A"/>
    <w:rsid w:val="009C6E1B"/>
    <w:rsid w:val="009D082A"/>
    <w:rsid w:val="009D2FEA"/>
    <w:rsid w:val="009D5D83"/>
    <w:rsid w:val="009E2BD7"/>
    <w:rsid w:val="009E3B9A"/>
    <w:rsid w:val="009E453D"/>
    <w:rsid w:val="009E4F8D"/>
    <w:rsid w:val="009E5E58"/>
    <w:rsid w:val="009F2378"/>
    <w:rsid w:val="009F6208"/>
    <w:rsid w:val="009F6C48"/>
    <w:rsid w:val="009F7479"/>
    <w:rsid w:val="009F79DA"/>
    <w:rsid w:val="00A00E99"/>
    <w:rsid w:val="00A015FD"/>
    <w:rsid w:val="00A01923"/>
    <w:rsid w:val="00A01CBD"/>
    <w:rsid w:val="00A02259"/>
    <w:rsid w:val="00A10A9B"/>
    <w:rsid w:val="00A10D52"/>
    <w:rsid w:val="00A12F94"/>
    <w:rsid w:val="00A22435"/>
    <w:rsid w:val="00A22BAF"/>
    <w:rsid w:val="00A23DE9"/>
    <w:rsid w:val="00A247C7"/>
    <w:rsid w:val="00A2683C"/>
    <w:rsid w:val="00A26DE7"/>
    <w:rsid w:val="00A26F5E"/>
    <w:rsid w:val="00A278A6"/>
    <w:rsid w:val="00A31CA7"/>
    <w:rsid w:val="00A32D84"/>
    <w:rsid w:val="00A3312A"/>
    <w:rsid w:val="00A3485F"/>
    <w:rsid w:val="00A3554A"/>
    <w:rsid w:val="00A36BDC"/>
    <w:rsid w:val="00A40B86"/>
    <w:rsid w:val="00A45405"/>
    <w:rsid w:val="00A46887"/>
    <w:rsid w:val="00A47660"/>
    <w:rsid w:val="00A54B6D"/>
    <w:rsid w:val="00A555FA"/>
    <w:rsid w:val="00A57ED0"/>
    <w:rsid w:val="00A602EF"/>
    <w:rsid w:val="00A6323D"/>
    <w:rsid w:val="00A64FF4"/>
    <w:rsid w:val="00A66FC6"/>
    <w:rsid w:val="00A671CB"/>
    <w:rsid w:val="00A674C5"/>
    <w:rsid w:val="00A7077D"/>
    <w:rsid w:val="00A708C5"/>
    <w:rsid w:val="00A70CE5"/>
    <w:rsid w:val="00A71EC2"/>
    <w:rsid w:val="00A720E1"/>
    <w:rsid w:val="00A72A70"/>
    <w:rsid w:val="00A72C9A"/>
    <w:rsid w:val="00A74057"/>
    <w:rsid w:val="00A75AB9"/>
    <w:rsid w:val="00A76994"/>
    <w:rsid w:val="00A8079A"/>
    <w:rsid w:val="00A85FF8"/>
    <w:rsid w:val="00A96CB1"/>
    <w:rsid w:val="00AA2930"/>
    <w:rsid w:val="00AA312F"/>
    <w:rsid w:val="00AA34E2"/>
    <w:rsid w:val="00AA43A5"/>
    <w:rsid w:val="00AA4C55"/>
    <w:rsid w:val="00AA5CCE"/>
    <w:rsid w:val="00AA65FA"/>
    <w:rsid w:val="00AA7873"/>
    <w:rsid w:val="00AB3A3D"/>
    <w:rsid w:val="00AB5AFB"/>
    <w:rsid w:val="00AB65BB"/>
    <w:rsid w:val="00AB6F93"/>
    <w:rsid w:val="00AB70B2"/>
    <w:rsid w:val="00AC234F"/>
    <w:rsid w:val="00AC2F88"/>
    <w:rsid w:val="00AC67C5"/>
    <w:rsid w:val="00AC6A63"/>
    <w:rsid w:val="00AC76CB"/>
    <w:rsid w:val="00AD03AC"/>
    <w:rsid w:val="00AD3BC6"/>
    <w:rsid w:val="00AD41EE"/>
    <w:rsid w:val="00AD62DE"/>
    <w:rsid w:val="00AD69D6"/>
    <w:rsid w:val="00AD6D84"/>
    <w:rsid w:val="00AE0CFD"/>
    <w:rsid w:val="00AE0E04"/>
    <w:rsid w:val="00AE0F2F"/>
    <w:rsid w:val="00AE1366"/>
    <w:rsid w:val="00AE35CC"/>
    <w:rsid w:val="00AE7064"/>
    <w:rsid w:val="00AE79F2"/>
    <w:rsid w:val="00AF2122"/>
    <w:rsid w:val="00AF29F7"/>
    <w:rsid w:val="00AF3B64"/>
    <w:rsid w:val="00AF6139"/>
    <w:rsid w:val="00AF69A5"/>
    <w:rsid w:val="00AF6B11"/>
    <w:rsid w:val="00B01F46"/>
    <w:rsid w:val="00B02B9A"/>
    <w:rsid w:val="00B02F10"/>
    <w:rsid w:val="00B0680B"/>
    <w:rsid w:val="00B07135"/>
    <w:rsid w:val="00B12DDA"/>
    <w:rsid w:val="00B13140"/>
    <w:rsid w:val="00B17150"/>
    <w:rsid w:val="00B22D31"/>
    <w:rsid w:val="00B231EC"/>
    <w:rsid w:val="00B26039"/>
    <w:rsid w:val="00B33354"/>
    <w:rsid w:val="00B34C5A"/>
    <w:rsid w:val="00B35497"/>
    <w:rsid w:val="00B37015"/>
    <w:rsid w:val="00B43536"/>
    <w:rsid w:val="00B44B78"/>
    <w:rsid w:val="00B45B71"/>
    <w:rsid w:val="00B51601"/>
    <w:rsid w:val="00B521A1"/>
    <w:rsid w:val="00B529B7"/>
    <w:rsid w:val="00B52C09"/>
    <w:rsid w:val="00B52D61"/>
    <w:rsid w:val="00B53064"/>
    <w:rsid w:val="00B53FEB"/>
    <w:rsid w:val="00B54344"/>
    <w:rsid w:val="00B55449"/>
    <w:rsid w:val="00B573EC"/>
    <w:rsid w:val="00B61E56"/>
    <w:rsid w:val="00B627E3"/>
    <w:rsid w:val="00B646A9"/>
    <w:rsid w:val="00B65540"/>
    <w:rsid w:val="00B6741A"/>
    <w:rsid w:val="00B70E96"/>
    <w:rsid w:val="00B714BA"/>
    <w:rsid w:val="00B71FA6"/>
    <w:rsid w:val="00B72AAA"/>
    <w:rsid w:val="00B72F7E"/>
    <w:rsid w:val="00B73DD3"/>
    <w:rsid w:val="00B740CF"/>
    <w:rsid w:val="00B772AB"/>
    <w:rsid w:val="00B812D8"/>
    <w:rsid w:val="00B861D9"/>
    <w:rsid w:val="00B8653A"/>
    <w:rsid w:val="00B87C72"/>
    <w:rsid w:val="00B91239"/>
    <w:rsid w:val="00B91EBC"/>
    <w:rsid w:val="00B93A24"/>
    <w:rsid w:val="00B940EA"/>
    <w:rsid w:val="00B9460D"/>
    <w:rsid w:val="00B963E1"/>
    <w:rsid w:val="00B96E03"/>
    <w:rsid w:val="00B97B26"/>
    <w:rsid w:val="00BA1811"/>
    <w:rsid w:val="00BA388C"/>
    <w:rsid w:val="00BA7E71"/>
    <w:rsid w:val="00BB0024"/>
    <w:rsid w:val="00BB06C5"/>
    <w:rsid w:val="00BB269E"/>
    <w:rsid w:val="00BB28E3"/>
    <w:rsid w:val="00BB3632"/>
    <w:rsid w:val="00BB4145"/>
    <w:rsid w:val="00BB5458"/>
    <w:rsid w:val="00BB6980"/>
    <w:rsid w:val="00BB6CDC"/>
    <w:rsid w:val="00BC1596"/>
    <w:rsid w:val="00BC1C92"/>
    <w:rsid w:val="00BC1EBD"/>
    <w:rsid w:val="00BC478E"/>
    <w:rsid w:val="00BC4E72"/>
    <w:rsid w:val="00BC6BB7"/>
    <w:rsid w:val="00BD4008"/>
    <w:rsid w:val="00BD5941"/>
    <w:rsid w:val="00BD6BF5"/>
    <w:rsid w:val="00BE04C8"/>
    <w:rsid w:val="00BE167B"/>
    <w:rsid w:val="00BE7FDC"/>
    <w:rsid w:val="00BF0123"/>
    <w:rsid w:val="00BF0569"/>
    <w:rsid w:val="00BF1D58"/>
    <w:rsid w:val="00BF2ADA"/>
    <w:rsid w:val="00BF2CA5"/>
    <w:rsid w:val="00BF33F4"/>
    <w:rsid w:val="00C010AF"/>
    <w:rsid w:val="00C028F2"/>
    <w:rsid w:val="00C02DF3"/>
    <w:rsid w:val="00C054A4"/>
    <w:rsid w:val="00C054DC"/>
    <w:rsid w:val="00C06F16"/>
    <w:rsid w:val="00C07C75"/>
    <w:rsid w:val="00C10A1D"/>
    <w:rsid w:val="00C14C3C"/>
    <w:rsid w:val="00C22232"/>
    <w:rsid w:val="00C25D94"/>
    <w:rsid w:val="00C3056E"/>
    <w:rsid w:val="00C3263D"/>
    <w:rsid w:val="00C40437"/>
    <w:rsid w:val="00C406BA"/>
    <w:rsid w:val="00C43A92"/>
    <w:rsid w:val="00C44493"/>
    <w:rsid w:val="00C447E3"/>
    <w:rsid w:val="00C45922"/>
    <w:rsid w:val="00C46580"/>
    <w:rsid w:val="00C50E1E"/>
    <w:rsid w:val="00C52872"/>
    <w:rsid w:val="00C52B42"/>
    <w:rsid w:val="00C57043"/>
    <w:rsid w:val="00C6230F"/>
    <w:rsid w:val="00C62714"/>
    <w:rsid w:val="00C63C15"/>
    <w:rsid w:val="00C64A7A"/>
    <w:rsid w:val="00C67971"/>
    <w:rsid w:val="00C708BD"/>
    <w:rsid w:val="00C725D1"/>
    <w:rsid w:val="00C72641"/>
    <w:rsid w:val="00C72EEC"/>
    <w:rsid w:val="00C7330E"/>
    <w:rsid w:val="00C74865"/>
    <w:rsid w:val="00C8036C"/>
    <w:rsid w:val="00C83F7F"/>
    <w:rsid w:val="00C84DD8"/>
    <w:rsid w:val="00C85868"/>
    <w:rsid w:val="00C86336"/>
    <w:rsid w:val="00C914EE"/>
    <w:rsid w:val="00C9299C"/>
    <w:rsid w:val="00C93598"/>
    <w:rsid w:val="00C94407"/>
    <w:rsid w:val="00C95173"/>
    <w:rsid w:val="00CA028E"/>
    <w:rsid w:val="00CA0A0F"/>
    <w:rsid w:val="00CA25FB"/>
    <w:rsid w:val="00CA35FE"/>
    <w:rsid w:val="00CA4B38"/>
    <w:rsid w:val="00CA58D8"/>
    <w:rsid w:val="00CA5C86"/>
    <w:rsid w:val="00CA5CDB"/>
    <w:rsid w:val="00CA60A6"/>
    <w:rsid w:val="00CA610E"/>
    <w:rsid w:val="00CA6BC9"/>
    <w:rsid w:val="00CB0880"/>
    <w:rsid w:val="00CB11D8"/>
    <w:rsid w:val="00CB538A"/>
    <w:rsid w:val="00CB7B15"/>
    <w:rsid w:val="00CC0A46"/>
    <w:rsid w:val="00CC141F"/>
    <w:rsid w:val="00CC1843"/>
    <w:rsid w:val="00CC3324"/>
    <w:rsid w:val="00CC4E7F"/>
    <w:rsid w:val="00CD2502"/>
    <w:rsid w:val="00CD2FC9"/>
    <w:rsid w:val="00CD3B71"/>
    <w:rsid w:val="00CD3EA8"/>
    <w:rsid w:val="00CD403A"/>
    <w:rsid w:val="00CD4BF7"/>
    <w:rsid w:val="00CD5132"/>
    <w:rsid w:val="00CE3771"/>
    <w:rsid w:val="00CE5ECC"/>
    <w:rsid w:val="00CE638A"/>
    <w:rsid w:val="00CE7B5F"/>
    <w:rsid w:val="00CF05E1"/>
    <w:rsid w:val="00CF1A6B"/>
    <w:rsid w:val="00CF2180"/>
    <w:rsid w:val="00CF2738"/>
    <w:rsid w:val="00CF2BD6"/>
    <w:rsid w:val="00CF66E1"/>
    <w:rsid w:val="00CF67DD"/>
    <w:rsid w:val="00D0071A"/>
    <w:rsid w:val="00D02DE1"/>
    <w:rsid w:val="00D03E16"/>
    <w:rsid w:val="00D06E13"/>
    <w:rsid w:val="00D10112"/>
    <w:rsid w:val="00D11348"/>
    <w:rsid w:val="00D11A63"/>
    <w:rsid w:val="00D11AD0"/>
    <w:rsid w:val="00D11BC5"/>
    <w:rsid w:val="00D12480"/>
    <w:rsid w:val="00D13378"/>
    <w:rsid w:val="00D14609"/>
    <w:rsid w:val="00D15440"/>
    <w:rsid w:val="00D1613A"/>
    <w:rsid w:val="00D174F1"/>
    <w:rsid w:val="00D175CB"/>
    <w:rsid w:val="00D17845"/>
    <w:rsid w:val="00D17B49"/>
    <w:rsid w:val="00D20533"/>
    <w:rsid w:val="00D20E3A"/>
    <w:rsid w:val="00D21DFF"/>
    <w:rsid w:val="00D25E8F"/>
    <w:rsid w:val="00D26B11"/>
    <w:rsid w:val="00D317D8"/>
    <w:rsid w:val="00D32426"/>
    <w:rsid w:val="00D37890"/>
    <w:rsid w:val="00D416E8"/>
    <w:rsid w:val="00D44753"/>
    <w:rsid w:val="00D46562"/>
    <w:rsid w:val="00D46CAF"/>
    <w:rsid w:val="00D5044B"/>
    <w:rsid w:val="00D526E9"/>
    <w:rsid w:val="00D52C69"/>
    <w:rsid w:val="00D531EE"/>
    <w:rsid w:val="00D537E8"/>
    <w:rsid w:val="00D57225"/>
    <w:rsid w:val="00D57C0B"/>
    <w:rsid w:val="00D61463"/>
    <w:rsid w:val="00D61D7D"/>
    <w:rsid w:val="00D621A4"/>
    <w:rsid w:val="00D62251"/>
    <w:rsid w:val="00D6237D"/>
    <w:rsid w:val="00D63F9A"/>
    <w:rsid w:val="00D64842"/>
    <w:rsid w:val="00D6603A"/>
    <w:rsid w:val="00D73990"/>
    <w:rsid w:val="00D73FD9"/>
    <w:rsid w:val="00D74402"/>
    <w:rsid w:val="00D7575A"/>
    <w:rsid w:val="00D768A2"/>
    <w:rsid w:val="00D8098A"/>
    <w:rsid w:val="00D829A7"/>
    <w:rsid w:val="00D8651D"/>
    <w:rsid w:val="00D9091B"/>
    <w:rsid w:val="00D90CA6"/>
    <w:rsid w:val="00D92C11"/>
    <w:rsid w:val="00D93896"/>
    <w:rsid w:val="00D978CF"/>
    <w:rsid w:val="00D979FB"/>
    <w:rsid w:val="00DA0006"/>
    <w:rsid w:val="00DA21B8"/>
    <w:rsid w:val="00DB2684"/>
    <w:rsid w:val="00DB27F4"/>
    <w:rsid w:val="00DB3CB7"/>
    <w:rsid w:val="00DB46E8"/>
    <w:rsid w:val="00DB6526"/>
    <w:rsid w:val="00DB7799"/>
    <w:rsid w:val="00DC2284"/>
    <w:rsid w:val="00DC238D"/>
    <w:rsid w:val="00DC23C7"/>
    <w:rsid w:val="00DC62C4"/>
    <w:rsid w:val="00DC66E5"/>
    <w:rsid w:val="00DC7017"/>
    <w:rsid w:val="00DD117E"/>
    <w:rsid w:val="00DD14A7"/>
    <w:rsid w:val="00DD192C"/>
    <w:rsid w:val="00DD353C"/>
    <w:rsid w:val="00DD390D"/>
    <w:rsid w:val="00DD50BC"/>
    <w:rsid w:val="00DD6C0A"/>
    <w:rsid w:val="00DD7F38"/>
    <w:rsid w:val="00DE4524"/>
    <w:rsid w:val="00DE6EB2"/>
    <w:rsid w:val="00DE77A3"/>
    <w:rsid w:val="00DF3BFD"/>
    <w:rsid w:val="00DF4063"/>
    <w:rsid w:val="00DF4535"/>
    <w:rsid w:val="00DF7654"/>
    <w:rsid w:val="00DF77E9"/>
    <w:rsid w:val="00E0012A"/>
    <w:rsid w:val="00E007A4"/>
    <w:rsid w:val="00E01BDC"/>
    <w:rsid w:val="00E02F5F"/>
    <w:rsid w:val="00E06566"/>
    <w:rsid w:val="00E06CAA"/>
    <w:rsid w:val="00E111F6"/>
    <w:rsid w:val="00E11668"/>
    <w:rsid w:val="00E12F08"/>
    <w:rsid w:val="00E13444"/>
    <w:rsid w:val="00E151C9"/>
    <w:rsid w:val="00E162BF"/>
    <w:rsid w:val="00E20EBA"/>
    <w:rsid w:val="00E24E99"/>
    <w:rsid w:val="00E30A69"/>
    <w:rsid w:val="00E319AE"/>
    <w:rsid w:val="00E33E8C"/>
    <w:rsid w:val="00E37552"/>
    <w:rsid w:val="00E40162"/>
    <w:rsid w:val="00E4621D"/>
    <w:rsid w:val="00E47F73"/>
    <w:rsid w:val="00E53315"/>
    <w:rsid w:val="00E54636"/>
    <w:rsid w:val="00E60B52"/>
    <w:rsid w:val="00E61FDC"/>
    <w:rsid w:val="00E62C87"/>
    <w:rsid w:val="00E64B00"/>
    <w:rsid w:val="00E70C30"/>
    <w:rsid w:val="00E71B5B"/>
    <w:rsid w:val="00E757E8"/>
    <w:rsid w:val="00E85729"/>
    <w:rsid w:val="00E85A29"/>
    <w:rsid w:val="00E867A8"/>
    <w:rsid w:val="00E91D7C"/>
    <w:rsid w:val="00E957FC"/>
    <w:rsid w:val="00E95849"/>
    <w:rsid w:val="00E96635"/>
    <w:rsid w:val="00EA0232"/>
    <w:rsid w:val="00EA1297"/>
    <w:rsid w:val="00EB077B"/>
    <w:rsid w:val="00EB1FF2"/>
    <w:rsid w:val="00EB59AF"/>
    <w:rsid w:val="00EB5FCF"/>
    <w:rsid w:val="00EB6CFC"/>
    <w:rsid w:val="00EB6D5C"/>
    <w:rsid w:val="00EC37AB"/>
    <w:rsid w:val="00EC4EBC"/>
    <w:rsid w:val="00EC615D"/>
    <w:rsid w:val="00ED038F"/>
    <w:rsid w:val="00ED1A19"/>
    <w:rsid w:val="00ED4B96"/>
    <w:rsid w:val="00ED4D0D"/>
    <w:rsid w:val="00ED66C7"/>
    <w:rsid w:val="00EE02C9"/>
    <w:rsid w:val="00EE08D9"/>
    <w:rsid w:val="00EE2960"/>
    <w:rsid w:val="00EE6565"/>
    <w:rsid w:val="00EE6770"/>
    <w:rsid w:val="00EE7CAF"/>
    <w:rsid w:val="00EE7E29"/>
    <w:rsid w:val="00EF1459"/>
    <w:rsid w:val="00EF1A37"/>
    <w:rsid w:val="00EF1ACB"/>
    <w:rsid w:val="00EF25C1"/>
    <w:rsid w:val="00EF2D4A"/>
    <w:rsid w:val="00EF3AF5"/>
    <w:rsid w:val="00EF544E"/>
    <w:rsid w:val="00EF59D4"/>
    <w:rsid w:val="00F04287"/>
    <w:rsid w:val="00F04317"/>
    <w:rsid w:val="00F10CC2"/>
    <w:rsid w:val="00F11EB1"/>
    <w:rsid w:val="00F1318A"/>
    <w:rsid w:val="00F1325D"/>
    <w:rsid w:val="00F13940"/>
    <w:rsid w:val="00F160F9"/>
    <w:rsid w:val="00F166F7"/>
    <w:rsid w:val="00F20554"/>
    <w:rsid w:val="00F21860"/>
    <w:rsid w:val="00F23CD3"/>
    <w:rsid w:val="00F24930"/>
    <w:rsid w:val="00F262D9"/>
    <w:rsid w:val="00F3223F"/>
    <w:rsid w:val="00F33AB9"/>
    <w:rsid w:val="00F34C20"/>
    <w:rsid w:val="00F36FDB"/>
    <w:rsid w:val="00F41536"/>
    <w:rsid w:val="00F432F4"/>
    <w:rsid w:val="00F439E7"/>
    <w:rsid w:val="00F449AA"/>
    <w:rsid w:val="00F45188"/>
    <w:rsid w:val="00F50530"/>
    <w:rsid w:val="00F51DC6"/>
    <w:rsid w:val="00F54751"/>
    <w:rsid w:val="00F54C08"/>
    <w:rsid w:val="00F55F7F"/>
    <w:rsid w:val="00F56C57"/>
    <w:rsid w:val="00F60017"/>
    <w:rsid w:val="00F60BAF"/>
    <w:rsid w:val="00F61A4C"/>
    <w:rsid w:val="00F641ED"/>
    <w:rsid w:val="00F64F0F"/>
    <w:rsid w:val="00F67244"/>
    <w:rsid w:val="00F6724F"/>
    <w:rsid w:val="00F719ED"/>
    <w:rsid w:val="00F74549"/>
    <w:rsid w:val="00F75742"/>
    <w:rsid w:val="00F81293"/>
    <w:rsid w:val="00F8543E"/>
    <w:rsid w:val="00F860DE"/>
    <w:rsid w:val="00F86D5F"/>
    <w:rsid w:val="00F9070B"/>
    <w:rsid w:val="00F9083F"/>
    <w:rsid w:val="00F9119B"/>
    <w:rsid w:val="00F9390C"/>
    <w:rsid w:val="00F97853"/>
    <w:rsid w:val="00F97E91"/>
    <w:rsid w:val="00FA04F6"/>
    <w:rsid w:val="00FA4F1E"/>
    <w:rsid w:val="00FA6A82"/>
    <w:rsid w:val="00FB0939"/>
    <w:rsid w:val="00FB2011"/>
    <w:rsid w:val="00FB3210"/>
    <w:rsid w:val="00FB599E"/>
    <w:rsid w:val="00FB7436"/>
    <w:rsid w:val="00FC25D2"/>
    <w:rsid w:val="00FC4B5A"/>
    <w:rsid w:val="00FC4C5F"/>
    <w:rsid w:val="00FC5DC2"/>
    <w:rsid w:val="00FC6198"/>
    <w:rsid w:val="00FC6C86"/>
    <w:rsid w:val="00FC7004"/>
    <w:rsid w:val="00FC717A"/>
    <w:rsid w:val="00FD40FC"/>
    <w:rsid w:val="00FD4D92"/>
    <w:rsid w:val="00FD68C9"/>
    <w:rsid w:val="00FD76CF"/>
    <w:rsid w:val="00FE1D54"/>
    <w:rsid w:val="00FE3281"/>
    <w:rsid w:val="00FE42DB"/>
    <w:rsid w:val="00FE4950"/>
    <w:rsid w:val="00FE5FEE"/>
    <w:rsid w:val="00FE73C4"/>
    <w:rsid w:val="00FF309E"/>
    <w:rsid w:val="00FF58FD"/>
    <w:rsid w:val="00FF6084"/>
    <w:rsid w:val="00FF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8F7D"/>
  <w15:chartTrackingRefBased/>
  <w15:docId w15:val="{B8366D61-4EDE-4E4D-94FE-665D1FC2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FA04F6"/>
    <w:pPr>
      <w:keepNext/>
      <w:spacing w:before="240" w:after="60" w:line="240" w:lineRule="auto"/>
      <w:outlineLvl w:val="2"/>
    </w:pPr>
    <w:rPr>
      <w:rFonts w:ascii="Bookman Old Style" w:eastAsia="Times New Roman" w:hAnsi="Bookman Old Style"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6E1B"/>
    <w:pPr>
      <w:ind w:left="720"/>
      <w:contextualSpacing/>
    </w:pPr>
  </w:style>
  <w:style w:type="paragraph" w:styleId="Header">
    <w:name w:val="header"/>
    <w:basedOn w:val="Normal"/>
    <w:link w:val="HeaderChar"/>
    <w:uiPriority w:val="99"/>
    <w:unhideWhenUsed/>
    <w:rsid w:val="00441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DE4"/>
  </w:style>
  <w:style w:type="paragraph" w:styleId="Footer">
    <w:name w:val="footer"/>
    <w:basedOn w:val="Normal"/>
    <w:link w:val="FooterChar"/>
    <w:uiPriority w:val="99"/>
    <w:unhideWhenUsed/>
    <w:rsid w:val="00441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DE4"/>
  </w:style>
  <w:style w:type="character" w:customStyle="1" w:styleId="Heading3Char">
    <w:name w:val="Heading 3 Char"/>
    <w:basedOn w:val="DefaultParagraphFont"/>
    <w:link w:val="Heading3"/>
    <w:uiPriority w:val="9"/>
    <w:rsid w:val="00FA04F6"/>
    <w:rPr>
      <w:rFonts w:ascii="Bookman Old Style" w:eastAsia="Times New Roman" w:hAnsi="Bookman Old Style" w:cs="Times New Roman"/>
      <w:b/>
      <w:bCs/>
      <w:sz w:val="28"/>
      <w:szCs w:val="26"/>
    </w:rPr>
  </w:style>
  <w:style w:type="paragraph" w:styleId="NoSpacing">
    <w:name w:val="No Spacing"/>
    <w:uiPriority w:val="1"/>
    <w:qFormat/>
    <w:rsid w:val="00FA04F6"/>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FC2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5D2"/>
    <w:rPr>
      <w:rFonts w:ascii="Segoe UI" w:hAnsi="Segoe UI" w:cs="Segoe UI"/>
      <w:sz w:val="18"/>
      <w:szCs w:val="18"/>
    </w:rPr>
  </w:style>
  <w:style w:type="table" w:styleId="TableGrid">
    <w:name w:val="Table Grid"/>
    <w:basedOn w:val="TableNormal"/>
    <w:uiPriority w:val="39"/>
    <w:rsid w:val="0083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38A"/>
    <w:rPr>
      <w:sz w:val="16"/>
      <w:szCs w:val="16"/>
    </w:rPr>
  </w:style>
  <w:style w:type="paragraph" w:styleId="CommentText">
    <w:name w:val="annotation text"/>
    <w:basedOn w:val="Normal"/>
    <w:link w:val="CommentTextChar"/>
    <w:uiPriority w:val="99"/>
    <w:unhideWhenUsed/>
    <w:rsid w:val="008D138A"/>
    <w:pPr>
      <w:spacing w:line="240" w:lineRule="auto"/>
    </w:pPr>
    <w:rPr>
      <w:sz w:val="20"/>
      <w:szCs w:val="20"/>
    </w:rPr>
  </w:style>
  <w:style w:type="character" w:customStyle="1" w:styleId="CommentTextChar">
    <w:name w:val="Comment Text Char"/>
    <w:basedOn w:val="DefaultParagraphFont"/>
    <w:link w:val="CommentText"/>
    <w:uiPriority w:val="99"/>
    <w:rsid w:val="008D138A"/>
    <w:rPr>
      <w:sz w:val="20"/>
      <w:szCs w:val="20"/>
    </w:rPr>
  </w:style>
  <w:style w:type="paragraph" w:styleId="CommentSubject">
    <w:name w:val="annotation subject"/>
    <w:basedOn w:val="CommentText"/>
    <w:next w:val="CommentText"/>
    <w:link w:val="CommentSubjectChar"/>
    <w:uiPriority w:val="99"/>
    <w:semiHidden/>
    <w:unhideWhenUsed/>
    <w:rsid w:val="008D138A"/>
    <w:rPr>
      <w:b/>
      <w:bCs/>
    </w:rPr>
  </w:style>
  <w:style w:type="character" w:customStyle="1" w:styleId="CommentSubjectChar">
    <w:name w:val="Comment Subject Char"/>
    <w:basedOn w:val="CommentTextChar"/>
    <w:link w:val="CommentSubject"/>
    <w:uiPriority w:val="99"/>
    <w:semiHidden/>
    <w:rsid w:val="008D138A"/>
    <w:rPr>
      <w:b/>
      <w:bCs/>
      <w:sz w:val="20"/>
      <w:szCs w:val="20"/>
    </w:rPr>
  </w:style>
  <w:style w:type="character" w:customStyle="1" w:styleId="ListParagraphChar">
    <w:name w:val="List Paragraph Char"/>
    <w:link w:val="ListParagraph"/>
    <w:uiPriority w:val="1"/>
    <w:locked/>
    <w:rsid w:val="000333C4"/>
  </w:style>
  <w:style w:type="character" w:styleId="Strong">
    <w:name w:val="Strong"/>
    <w:basedOn w:val="DefaultParagraphFont"/>
    <w:uiPriority w:val="22"/>
    <w:qFormat/>
    <w:rsid w:val="007F6BD4"/>
    <w:rPr>
      <w:b/>
      <w:bCs/>
    </w:rPr>
  </w:style>
  <w:style w:type="paragraph" w:customStyle="1" w:styleId="Body">
    <w:name w:val="Body"/>
    <w:rsid w:val="007F6BD4"/>
    <w:pPr>
      <w:pBdr>
        <w:top w:val="nil"/>
        <w:left w:val="nil"/>
        <w:bottom w:val="nil"/>
        <w:right w:val="nil"/>
        <w:between w:val="nil"/>
        <w:bar w:val="nil"/>
      </w:pBdr>
      <w:spacing w:after="0" w:line="240" w:lineRule="auto"/>
      <w:jc w:val="both"/>
    </w:pPr>
    <w:rPr>
      <w:rFonts w:ascii="Avenir Book" w:eastAsia="Arial Unicode MS" w:hAnsi="Avenir Book" w:cs="Arial Unicode MS"/>
      <w:color w:val="000000"/>
      <w:bdr w:val="nil"/>
    </w:rPr>
  </w:style>
  <w:style w:type="paragraph" w:customStyle="1" w:styleId="TableStyle3">
    <w:name w:val="Table Style 3"/>
    <w:rsid w:val="007F6BD4"/>
    <w:pPr>
      <w:pBdr>
        <w:top w:val="nil"/>
        <w:left w:val="nil"/>
        <w:bottom w:val="nil"/>
        <w:right w:val="nil"/>
        <w:between w:val="nil"/>
        <w:bar w:val="nil"/>
      </w:pBdr>
      <w:spacing w:after="0" w:line="240" w:lineRule="auto"/>
    </w:pPr>
    <w:rPr>
      <w:rFonts w:ascii="Helvetica Neue" w:eastAsia="Helvetica Neue" w:hAnsi="Helvetica Neue" w:cs="Helvetica Neue"/>
      <w:b/>
      <w:bCs/>
      <w:color w:val="FEFFFE"/>
      <w:sz w:val="20"/>
      <w:szCs w:val="20"/>
      <w:bdr w:val="nil"/>
    </w:rPr>
  </w:style>
  <w:style w:type="paragraph" w:customStyle="1" w:styleId="TableStyle2">
    <w:name w:val="Table Style 2"/>
    <w:rsid w:val="007F6BD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505">
      <w:bodyDiv w:val="1"/>
      <w:marLeft w:val="0"/>
      <w:marRight w:val="0"/>
      <w:marTop w:val="0"/>
      <w:marBottom w:val="0"/>
      <w:divBdr>
        <w:top w:val="none" w:sz="0" w:space="0" w:color="auto"/>
        <w:left w:val="none" w:sz="0" w:space="0" w:color="auto"/>
        <w:bottom w:val="none" w:sz="0" w:space="0" w:color="auto"/>
        <w:right w:val="none" w:sz="0" w:space="0" w:color="auto"/>
      </w:divBdr>
    </w:div>
    <w:div w:id="41634561">
      <w:bodyDiv w:val="1"/>
      <w:marLeft w:val="0"/>
      <w:marRight w:val="0"/>
      <w:marTop w:val="0"/>
      <w:marBottom w:val="0"/>
      <w:divBdr>
        <w:top w:val="none" w:sz="0" w:space="0" w:color="auto"/>
        <w:left w:val="none" w:sz="0" w:space="0" w:color="auto"/>
        <w:bottom w:val="none" w:sz="0" w:space="0" w:color="auto"/>
        <w:right w:val="none" w:sz="0" w:space="0" w:color="auto"/>
      </w:divBdr>
    </w:div>
    <w:div w:id="158426495">
      <w:bodyDiv w:val="1"/>
      <w:marLeft w:val="0"/>
      <w:marRight w:val="0"/>
      <w:marTop w:val="0"/>
      <w:marBottom w:val="0"/>
      <w:divBdr>
        <w:top w:val="none" w:sz="0" w:space="0" w:color="auto"/>
        <w:left w:val="none" w:sz="0" w:space="0" w:color="auto"/>
        <w:bottom w:val="none" w:sz="0" w:space="0" w:color="auto"/>
        <w:right w:val="none" w:sz="0" w:space="0" w:color="auto"/>
      </w:divBdr>
    </w:div>
    <w:div w:id="160974934">
      <w:bodyDiv w:val="1"/>
      <w:marLeft w:val="0"/>
      <w:marRight w:val="0"/>
      <w:marTop w:val="0"/>
      <w:marBottom w:val="0"/>
      <w:divBdr>
        <w:top w:val="none" w:sz="0" w:space="0" w:color="auto"/>
        <w:left w:val="none" w:sz="0" w:space="0" w:color="auto"/>
        <w:bottom w:val="none" w:sz="0" w:space="0" w:color="auto"/>
        <w:right w:val="none" w:sz="0" w:space="0" w:color="auto"/>
      </w:divBdr>
    </w:div>
    <w:div w:id="190413008">
      <w:bodyDiv w:val="1"/>
      <w:marLeft w:val="0"/>
      <w:marRight w:val="0"/>
      <w:marTop w:val="0"/>
      <w:marBottom w:val="0"/>
      <w:divBdr>
        <w:top w:val="none" w:sz="0" w:space="0" w:color="auto"/>
        <w:left w:val="none" w:sz="0" w:space="0" w:color="auto"/>
        <w:bottom w:val="none" w:sz="0" w:space="0" w:color="auto"/>
        <w:right w:val="none" w:sz="0" w:space="0" w:color="auto"/>
      </w:divBdr>
    </w:div>
    <w:div w:id="317610159">
      <w:bodyDiv w:val="1"/>
      <w:marLeft w:val="0"/>
      <w:marRight w:val="0"/>
      <w:marTop w:val="0"/>
      <w:marBottom w:val="0"/>
      <w:divBdr>
        <w:top w:val="none" w:sz="0" w:space="0" w:color="auto"/>
        <w:left w:val="none" w:sz="0" w:space="0" w:color="auto"/>
        <w:bottom w:val="none" w:sz="0" w:space="0" w:color="auto"/>
        <w:right w:val="none" w:sz="0" w:space="0" w:color="auto"/>
      </w:divBdr>
    </w:div>
    <w:div w:id="330985767">
      <w:bodyDiv w:val="1"/>
      <w:marLeft w:val="0"/>
      <w:marRight w:val="0"/>
      <w:marTop w:val="0"/>
      <w:marBottom w:val="0"/>
      <w:divBdr>
        <w:top w:val="none" w:sz="0" w:space="0" w:color="auto"/>
        <w:left w:val="none" w:sz="0" w:space="0" w:color="auto"/>
        <w:bottom w:val="none" w:sz="0" w:space="0" w:color="auto"/>
        <w:right w:val="none" w:sz="0" w:space="0" w:color="auto"/>
      </w:divBdr>
    </w:div>
    <w:div w:id="419761939">
      <w:bodyDiv w:val="1"/>
      <w:marLeft w:val="0"/>
      <w:marRight w:val="0"/>
      <w:marTop w:val="0"/>
      <w:marBottom w:val="0"/>
      <w:divBdr>
        <w:top w:val="none" w:sz="0" w:space="0" w:color="auto"/>
        <w:left w:val="none" w:sz="0" w:space="0" w:color="auto"/>
        <w:bottom w:val="none" w:sz="0" w:space="0" w:color="auto"/>
        <w:right w:val="none" w:sz="0" w:space="0" w:color="auto"/>
      </w:divBdr>
    </w:div>
    <w:div w:id="436607842">
      <w:bodyDiv w:val="1"/>
      <w:marLeft w:val="0"/>
      <w:marRight w:val="0"/>
      <w:marTop w:val="0"/>
      <w:marBottom w:val="0"/>
      <w:divBdr>
        <w:top w:val="none" w:sz="0" w:space="0" w:color="auto"/>
        <w:left w:val="none" w:sz="0" w:space="0" w:color="auto"/>
        <w:bottom w:val="none" w:sz="0" w:space="0" w:color="auto"/>
        <w:right w:val="none" w:sz="0" w:space="0" w:color="auto"/>
      </w:divBdr>
    </w:div>
    <w:div w:id="509951743">
      <w:bodyDiv w:val="1"/>
      <w:marLeft w:val="0"/>
      <w:marRight w:val="0"/>
      <w:marTop w:val="0"/>
      <w:marBottom w:val="0"/>
      <w:divBdr>
        <w:top w:val="none" w:sz="0" w:space="0" w:color="auto"/>
        <w:left w:val="none" w:sz="0" w:space="0" w:color="auto"/>
        <w:bottom w:val="none" w:sz="0" w:space="0" w:color="auto"/>
        <w:right w:val="none" w:sz="0" w:space="0" w:color="auto"/>
      </w:divBdr>
    </w:div>
    <w:div w:id="610934465">
      <w:bodyDiv w:val="1"/>
      <w:marLeft w:val="0"/>
      <w:marRight w:val="0"/>
      <w:marTop w:val="0"/>
      <w:marBottom w:val="0"/>
      <w:divBdr>
        <w:top w:val="none" w:sz="0" w:space="0" w:color="auto"/>
        <w:left w:val="none" w:sz="0" w:space="0" w:color="auto"/>
        <w:bottom w:val="none" w:sz="0" w:space="0" w:color="auto"/>
        <w:right w:val="none" w:sz="0" w:space="0" w:color="auto"/>
      </w:divBdr>
    </w:div>
    <w:div w:id="752822482">
      <w:bodyDiv w:val="1"/>
      <w:marLeft w:val="0"/>
      <w:marRight w:val="0"/>
      <w:marTop w:val="0"/>
      <w:marBottom w:val="0"/>
      <w:divBdr>
        <w:top w:val="none" w:sz="0" w:space="0" w:color="auto"/>
        <w:left w:val="none" w:sz="0" w:space="0" w:color="auto"/>
        <w:bottom w:val="none" w:sz="0" w:space="0" w:color="auto"/>
        <w:right w:val="none" w:sz="0" w:space="0" w:color="auto"/>
      </w:divBdr>
    </w:div>
    <w:div w:id="852650600">
      <w:bodyDiv w:val="1"/>
      <w:marLeft w:val="0"/>
      <w:marRight w:val="0"/>
      <w:marTop w:val="0"/>
      <w:marBottom w:val="0"/>
      <w:divBdr>
        <w:top w:val="none" w:sz="0" w:space="0" w:color="auto"/>
        <w:left w:val="none" w:sz="0" w:space="0" w:color="auto"/>
        <w:bottom w:val="none" w:sz="0" w:space="0" w:color="auto"/>
        <w:right w:val="none" w:sz="0" w:space="0" w:color="auto"/>
      </w:divBdr>
    </w:div>
    <w:div w:id="899827988">
      <w:bodyDiv w:val="1"/>
      <w:marLeft w:val="0"/>
      <w:marRight w:val="0"/>
      <w:marTop w:val="0"/>
      <w:marBottom w:val="0"/>
      <w:divBdr>
        <w:top w:val="none" w:sz="0" w:space="0" w:color="auto"/>
        <w:left w:val="none" w:sz="0" w:space="0" w:color="auto"/>
        <w:bottom w:val="none" w:sz="0" w:space="0" w:color="auto"/>
        <w:right w:val="none" w:sz="0" w:space="0" w:color="auto"/>
      </w:divBdr>
    </w:div>
    <w:div w:id="917439285">
      <w:bodyDiv w:val="1"/>
      <w:marLeft w:val="0"/>
      <w:marRight w:val="0"/>
      <w:marTop w:val="0"/>
      <w:marBottom w:val="0"/>
      <w:divBdr>
        <w:top w:val="none" w:sz="0" w:space="0" w:color="auto"/>
        <w:left w:val="none" w:sz="0" w:space="0" w:color="auto"/>
        <w:bottom w:val="none" w:sz="0" w:space="0" w:color="auto"/>
        <w:right w:val="none" w:sz="0" w:space="0" w:color="auto"/>
      </w:divBdr>
    </w:div>
    <w:div w:id="956182147">
      <w:bodyDiv w:val="1"/>
      <w:marLeft w:val="0"/>
      <w:marRight w:val="0"/>
      <w:marTop w:val="0"/>
      <w:marBottom w:val="0"/>
      <w:divBdr>
        <w:top w:val="none" w:sz="0" w:space="0" w:color="auto"/>
        <w:left w:val="none" w:sz="0" w:space="0" w:color="auto"/>
        <w:bottom w:val="none" w:sz="0" w:space="0" w:color="auto"/>
        <w:right w:val="none" w:sz="0" w:space="0" w:color="auto"/>
      </w:divBdr>
    </w:div>
    <w:div w:id="967008088">
      <w:bodyDiv w:val="1"/>
      <w:marLeft w:val="0"/>
      <w:marRight w:val="0"/>
      <w:marTop w:val="0"/>
      <w:marBottom w:val="0"/>
      <w:divBdr>
        <w:top w:val="none" w:sz="0" w:space="0" w:color="auto"/>
        <w:left w:val="none" w:sz="0" w:space="0" w:color="auto"/>
        <w:bottom w:val="none" w:sz="0" w:space="0" w:color="auto"/>
        <w:right w:val="none" w:sz="0" w:space="0" w:color="auto"/>
      </w:divBdr>
    </w:div>
    <w:div w:id="1002708030">
      <w:bodyDiv w:val="1"/>
      <w:marLeft w:val="0"/>
      <w:marRight w:val="0"/>
      <w:marTop w:val="0"/>
      <w:marBottom w:val="0"/>
      <w:divBdr>
        <w:top w:val="none" w:sz="0" w:space="0" w:color="auto"/>
        <w:left w:val="none" w:sz="0" w:space="0" w:color="auto"/>
        <w:bottom w:val="none" w:sz="0" w:space="0" w:color="auto"/>
        <w:right w:val="none" w:sz="0" w:space="0" w:color="auto"/>
      </w:divBdr>
    </w:div>
    <w:div w:id="1055424443">
      <w:bodyDiv w:val="1"/>
      <w:marLeft w:val="0"/>
      <w:marRight w:val="0"/>
      <w:marTop w:val="0"/>
      <w:marBottom w:val="0"/>
      <w:divBdr>
        <w:top w:val="none" w:sz="0" w:space="0" w:color="auto"/>
        <w:left w:val="none" w:sz="0" w:space="0" w:color="auto"/>
        <w:bottom w:val="none" w:sz="0" w:space="0" w:color="auto"/>
        <w:right w:val="none" w:sz="0" w:space="0" w:color="auto"/>
      </w:divBdr>
    </w:div>
    <w:div w:id="1062217649">
      <w:bodyDiv w:val="1"/>
      <w:marLeft w:val="0"/>
      <w:marRight w:val="0"/>
      <w:marTop w:val="0"/>
      <w:marBottom w:val="0"/>
      <w:divBdr>
        <w:top w:val="none" w:sz="0" w:space="0" w:color="auto"/>
        <w:left w:val="none" w:sz="0" w:space="0" w:color="auto"/>
        <w:bottom w:val="none" w:sz="0" w:space="0" w:color="auto"/>
        <w:right w:val="none" w:sz="0" w:space="0" w:color="auto"/>
      </w:divBdr>
    </w:div>
    <w:div w:id="1193423494">
      <w:bodyDiv w:val="1"/>
      <w:marLeft w:val="0"/>
      <w:marRight w:val="0"/>
      <w:marTop w:val="0"/>
      <w:marBottom w:val="0"/>
      <w:divBdr>
        <w:top w:val="none" w:sz="0" w:space="0" w:color="auto"/>
        <w:left w:val="none" w:sz="0" w:space="0" w:color="auto"/>
        <w:bottom w:val="none" w:sz="0" w:space="0" w:color="auto"/>
        <w:right w:val="none" w:sz="0" w:space="0" w:color="auto"/>
      </w:divBdr>
    </w:div>
    <w:div w:id="1336611266">
      <w:bodyDiv w:val="1"/>
      <w:marLeft w:val="0"/>
      <w:marRight w:val="0"/>
      <w:marTop w:val="0"/>
      <w:marBottom w:val="0"/>
      <w:divBdr>
        <w:top w:val="none" w:sz="0" w:space="0" w:color="auto"/>
        <w:left w:val="none" w:sz="0" w:space="0" w:color="auto"/>
        <w:bottom w:val="none" w:sz="0" w:space="0" w:color="auto"/>
        <w:right w:val="none" w:sz="0" w:space="0" w:color="auto"/>
      </w:divBdr>
    </w:div>
    <w:div w:id="1392579897">
      <w:bodyDiv w:val="1"/>
      <w:marLeft w:val="0"/>
      <w:marRight w:val="0"/>
      <w:marTop w:val="0"/>
      <w:marBottom w:val="0"/>
      <w:divBdr>
        <w:top w:val="none" w:sz="0" w:space="0" w:color="auto"/>
        <w:left w:val="none" w:sz="0" w:space="0" w:color="auto"/>
        <w:bottom w:val="none" w:sz="0" w:space="0" w:color="auto"/>
        <w:right w:val="none" w:sz="0" w:space="0" w:color="auto"/>
      </w:divBdr>
    </w:div>
    <w:div w:id="1441334024">
      <w:bodyDiv w:val="1"/>
      <w:marLeft w:val="0"/>
      <w:marRight w:val="0"/>
      <w:marTop w:val="0"/>
      <w:marBottom w:val="0"/>
      <w:divBdr>
        <w:top w:val="none" w:sz="0" w:space="0" w:color="auto"/>
        <w:left w:val="none" w:sz="0" w:space="0" w:color="auto"/>
        <w:bottom w:val="none" w:sz="0" w:space="0" w:color="auto"/>
        <w:right w:val="none" w:sz="0" w:space="0" w:color="auto"/>
      </w:divBdr>
    </w:div>
    <w:div w:id="1481727665">
      <w:bodyDiv w:val="1"/>
      <w:marLeft w:val="0"/>
      <w:marRight w:val="0"/>
      <w:marTop w:val="0"/>
      <w:marBottom w:val="0"/>
      <w:divBdr>
        <w:top w:val="none" w:sz="0" w:space="0" w:color="auto"/>
        <w:left w:val="none" w:sz="0" w:space="0" w:color="auto"/>
        <w:bottom w:val="none" w:sz="0" w:space="0" w:color="auto"/>
        <w:right w:val="none" w:sz="0" w:space="0" w:color="auto"/>
      </w:divBdr>
    </w:div>
    <w:div w:id="1483352540">
      <w:bodyDiv w:val="1"/>
      <w:marLeft w:val="0"/>
      <w:marRight w:val="0"/>
      <w:marTop w:val="0"/>
      <w:marBottom w:val="0"/>
      <w:divBdr>
        <w:top w:val="none" w:sz="0" w:space="0" w:color="auto"/>
        <w:left w:val="none" w:sz="0" w:space="0" w:color="auto"/>
        <w:bottom w:val="none" w:sz="0" w:space="0" w:color="auto"/>
        <w:right w:val="none" w:sz="0" w:space="0" w:color="auto"/>
      </w:divBdr>
    </w:div>
    <w:div w:id="1528105955">
      <w:bodyDiv w:val="1"/>
      <w:marLeft w:val="0"/>
      <w:marRight w:val="0"/>
      <w:marTop w:val="0"/>
      <w:marBottom w:val="0"/>
      <w:divBdr>
        <w:top w:val="none" w:sz="0" w:space="0" w:color="auto"/>
        <w:left w:val="none" w:sz="0" w:space="0" w:color="auto"/>
        <w:bottom w:val="none" w:sz="0" w:space="0" w:color="auto"/>
        <w:right w:val="none" w:sz="0" w:space="0" w:color="auto"/>
      </w:divBdr>
    </w:div>
    <w:div w:id="1668441777">
      <w:bodyDiv w:val="1"/>
      <w:marLeft w:val="0"/>
      <w:marRight w:val="0"/>
      <w:marTop w:val="0"/>
      <w:marBottom w:val="0"/>
      <w:divBdr>
        <w:top w:val="none" w:sz="0" w:space="0" w:color="auto"/>
        <w:left w:val="none" w:sz="0" w:space="0" w:color="auto"/>
        <w:bottom w:val="none" w:sz="0" w:space="0" w:color="auto"/>
        <w:right w:val="none" w:sz="0" w:space="0" w:color="auto"/>
      </w:divBdr>
    </w:div>
    <w:div w:id="1717658523">
      <w:bodyDiv w:val="1"/>
      <w:marLeft w:val="0"/>
      <w:marRight w:val="0"/>
      <w:marTop w:val="0"/>
      <w:marBottom w:val="0"/>
      <w:divBdr>
        <w:top w:val="none" w:sz="0" w:space="0" w:color="auto"/>
        <w:left w:val="none" w:sz="0" w:space="0" w:color="auto"/>
        <w:bottom w:val="none" w:sz="0" w:space="0" w:color="auto"/>
        <w:right w:val="none" w:sz="0" w:space="0" w:color="auto"/>
      </w:divBdr>
    </w:div>
    <w:div w:id="1746368117">
      <w:bodyDiv w:val="1"/>
      <w:marLeft w:val="0"/>
      <w:marRight w:val="0"/>
      <w:marTop w:val="0"/>
      <w:marBottom w:val="0"/>
      <w:divBdr>
        <w:top w:val="none" w:sz="0" w:space="0" w:color="auto"/>
        <w:left w:val="none" w:sz="0" w:space="0" w:color="auto"/>
        <w:bottom w:val="none" w:sz="0" w:space="0" w:color="auto"/>
        <w:right w:val="none" w:sz="0" w:space="0" w:color="auto"/>
      </w:divBdr>
    </w:div>
    <w:div w:id="1770659074">
      <w:bodyDiv w:val="1"/>
      <w:marLeft w:val="0"/>
      <w:marRight w:val="0"/>
      <w:marTop w:val="0"/>
      <w:marBottom w:val="0"/>
      <w:divBdr>
        <w:top w:val="none" w:sz="0" w:space="0" w:color="auto"/>
        <w:left w:val="none" w:sz="0" w:space="0" w:color="auto"/>
        <w:bottom w:val="none" w:sz="0" w:space="0" w:color="auto"/>
        <w:right w:val="none" w:sz="0" w:space="0" w:color="auto"/>
      </w:divBdr>
    </w:div>
    <w:div w:id="1880824302">
      <w:bodyDiv w:val="1"/>
      <w:marLeft w:val="0"/>
      <w:marRight w:val="0"/>
      <w:marTop w:val="0"/>
      <w:marBottom w:val="0"/>
      <w:divBdr>
        <w:top w:val="none" w:sz="0" w:space="0" w:color="auto"/>
        <w:left w:val="none" w:sz="0" w:space="0" w:color="auto"/>
        <w:bottom w:val="none" w:sz="0" w:space="0" w:color="auto"/>
        <w:right w:val="none" w:sz="0" w:space="0" w:color="auto"/>
      </w:divBdr>
    </w:div>
    <w:div w:id="1892888671">
      <w:bodyDiv w:val="1"/>
      <w:marLeft w:val="0"/>
      <w:marRight w:val="0"/>
      <w:marTop w:val="0"/>
      <w:marBottom w:val="0"/>
      <w:divBdr>
        <w:top w:val="none" w:sz="0" w:space="0" w:color="auto"/>
        <w:left w:val="none" w:sz="0" w:space="0" w:color="auto"/>
        <w:bottom w:val="none" w:sz="0" w:space="0" w:color="auto"/>
        <w:right w:val="none" w:sz="0" w:space="0" w:color="auto"/>
      </w:divBdr>
    </w:div>
    <w:div w:id="1920358546">
      <w:bodyDiv w:val="1"/>
      <w:marLeft w:val="0"/>
      <w:marRight w:val="0"/>
      <w:marTop w:val="0"/>
      <w:marBottom w:val="0"/>
      <w:divBdr>
        <w:top w:val="none" w:sz="0" w:space="0" w:color="auto"/>
        <w:left w:val="none" w:sz="0" w:space="0" w:color="auto"/>
        <w:bottom w:val="none" w:sz="0" w:space="0" w:color="auto"/>
        <w:right w:val="none" w:sz="0" w:space="0" w:color="auto"/>
      </w:divBdr>
    </w:div>
    <w:div w:id="2022511978">
      <w:bodyDiv w:val="1"/>
      <w:marLeft w:val="0"/>
      <w:marRight w:val="0"/>
      <w:marTop w:val="0"/>
      <w:marBottom w:val="0"/>
      <w:divBdr>
        <w:top w:val="none" w:sz="0" w:space="0" w:color="auto"/>
        <w:left w:val="none" w:sz="0" w:space="0" w:color="auto"/>
        <w:bottom w:val="none" w:sz="0" w:space="0" w:color="auto"/>
        <w:right w:val="none" w:sz="0" w:space="0" w:color="auto"/>
      </w:divBdr>
    </w:div>
    <w:div w:id="2053069969">
      <w:bodyDiv w:val="1"/>
      <w:marLeft w:val="0"/>
      <w:marRight w:val="0"/>
      <w:marTop w:val="0"/>
      <w:marBottom w:val="0"/>
      <w:divBdr>
        <w:top w:val="none" w:sz="0" w:space="0" w:color="auto"/>
        <w:left w:val="none" w:sz="0" w:space="0" w:color="auto"/>
        <w:bottom w:val="none" w:sz="0" w:space="0" w:color="auto"/>
        <w:right w:val="none" w:sz="0" w:space="0" w:color="auto"/>
      </w:divBdr>
    </w:div>
    <w:div w:id="209782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9382D7F2091F41869BA1BC4B322E13" ma:contentTypeVersion="16" ma:contentTypeDescription="Create a new document." ma:contentTypeScope="" ma:versionID="c288b7d39a1592d7ef49000b00816adf">
  <xsd:schema xmlns:xsd="http://www.w3.org/2001/XMLSchema" xmlns:xs="http://www.w3.org/2001/XMLSchema" xmlns:p="http://schemas.microsoft.com/office/2006/metadata/properties" xmlns:ns2="fb3755fa-05ff-4bdd-9bce-8933e8d8d891" xmlns:ns3="00fd4468-20d9-4049-b422-da74cf9fb12e" targetNamespace="http://schemas.microsoft.com/office/2006/metadata/properties" ma:root="true" ma:fieldsID="66b7ff5c981286534f82c610b5c810cb" ns2:_="" ns3:_="">
    <xsd:import namespace="fb3755fa-05ff-4bdd-9bce-8933e8d8d891"/>
    <xsd:import namespace="00fd4468-20d9-4049-b422-da74cf9fb1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55fa-05ff-4bdd-9bce-8933e8d8d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055090-a6ba-48d2-afb2-6210824f9d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d4468-20d9-4049-b422-da74cf9fb1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778354-669d-4f34-aeaa-c63f617c9d7a}" ma:internalName="TaxCatchAll" ma:showField="CatchAllData" ma:web="00fd4468-20d9-4049-b422-da74cf9fb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4EF1-FAE4-4F6D-B039-599D03D0B9DC}">
  <ds:schemaRefs>
    <ds:schemaRef ds:uri="http://schemas.microsoft.com/sharepoint/v3/contenttype/forms"/>
  </ds:schemaRefs>
</ds:datastoreItem>
</file>

<file path=customXml/itemProps2.xml><?xml version="1.0" encoding="utf-8"?>
<ds:datastoreItem xmlns:ds="http://schemas.openxmlformats.org/officeDocument/2006/customXml" ds:itemID="{C9C658C8-5E32-4720-9EFE-86CFCBFA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55fa-05ff-4bdd-9bce-8933e8d8d891"/>
    <ds:schemaRef ds:uri="00fd4468-20d9-4049-b422-da74cf9f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DE59C-CE36-4C9E-967C-6A89D313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7205</Words>
  <Characters>41071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Mahendrasing Khooblall</dc:creator>
  <cp:keywords/>
  <dc:description/>
  <cp:lastModifiedBy>Agnes Lilungwe</cp:lastModifiedBy>
  <cp:revision>4</cp:revision>
  <cp:lastPrinted>2020-11-26T08:39:00Z</cp:lastPrinted>
  <dcterms:created xsi:type="dcterms:W3CDTF">2022-11-24T11:35:00Z</dcterms:created>
  <dcterms:modified xsi:type="dcterms:W3CDTF">2022-11-25T13:08:00Z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0x010100D75E17CAA1D3674D9BEE23BEE206BF80</vt:lpwstr>
  </property>
</Properties>
</file>