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7E39" w14:textId="77777777" w:rsidR="0067097C" w:rsidRPr="00480C2B" w:rsidRDefault="0067097C" w:rsidP="00480C2B">
      <w:pPr>
        <w:spacing w:after="0" w:line="240" w:lineRule="auto"/>
        <w:jc w:val="center"/>
        <w:rPr>
          <w:rFonts w:ascii="Bookman Old Style" w:hAnsi="Bookman Old Style"/>
          <w:b/>
          <w:sz w:val="24"/>
          <w:szCs w:val="24"/>
        </w:rPr>
      </w:pPr>
      <w:r>
        <w:rPr>
          <w:rFonts w:ascii="Bookman Old Style" w:hAnsi="Bookman Old Style"/>
          <w:noProof/>
          <w:color w:val="000000"/>
          <w:sz w:val="24"/>
        </w:rPr>
        <w:drawing>
          <wp:inline distT="0" distB="0" distL="0" distR="0" wp14:anchorId="4C36D690" wp14:editId="7C7F920F">
            <wp:extent cx="940777" cy="1190139"/>
            <wp:effectExtent l="0" t="0" r="0" b="0"/>
            <wp:docPr id="1" name="Picture 1" descr="SADC PF Logo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 PF Logo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777" cy="1190139"/>
                    </a:xfrm>
                    <a:prstGeom prst="rect">
                      <a:avLst/>
                    </a:prstGeom>
                    <a:noFill/>
                    <a:ln>
                      <a:noFill/>
                    </a:ln>
                  </pic:spPr>
                </pic:pic>
              </a:graphicData>
            </a:graphic>
          </wp:inline>
        </w:drawing>
      </w:r>
    </w:p>
    <w:p w14:paraId="6F6DFE36" w14:textId="15E35B0E" w:rsidR="00BB06C5" w:rsidRPr="00BB06C5" w:rsidRDefault="00480C2B" w:rsidP="00EC59BC">
      <w:pPr>
        <w:spacing w:after="0" w:line="240" w:lineRule="auto"/>
        <w:jc w:val="center"/>
        <w:rPr>
          <w:rFonts w:ascii="Bookman Old Style" w:hAnsi="Bookman Old Style"/>
          <w:b/>
          <w:sz w:val="24"/>
          <w:szCs w:val="24"/>
        </w:rPr>
      </w:pPr>
      <w:r>
        <w:rPr>
          <w:rFonts w:ascii="Bookman Old Style" w:hAnsi="Bookman Old Style"/>
          <w:b/>
          <w:sz w:val="24"/>
        </w:rPr>
        <w:t>___________________________________________________________________________</w:t>
      </w:r>
    </w:p>
    <w:p w14:paraId="5B68492B" w14:textId="77777777" w:rsidR="00EE5693" w:rsidRPr="00EC59BC" w:rsidRDefault="00EE5693" w:rsidP="00EE5693">
      <w:pPr>
        <w:jc w:val="center"/>
        <w:rPr>
          <w:rFonts w:ascii="Bookman Old Style" w:hAnsi="Bookman Old Style"/>
          <w:b/>
          <w:color w:val="000000" w:themeColor="text1"/>
          <w:sz w:val="24"/>
          <w:szCs w:val="24"/>
        </w:rPr>
      </w:pPr>
      <w:r w:rsidRPr="00EC59BC">
        <w:rPr>
          <w:rFonts w:ascii="Bookman Old Style" w:hAnsi="Bookman Old Style"/>
          <w:b/>
          <w:color w:val="000000" w:themeColor="text1"/>
          <w:sz w:val="24"/>
          <w:szCs w:val="24"/>
        </w:rPr>
        <w:t>52.ª ASSEMBLEIA PLENÁRIA</w:t>
      </w:r>
    </w:p>
    <w:p w14:paraId="4ACBDC73" w14:textId="77777777" w:rsidR="00EE5693" w:rsidRPr="00EC59BC" w:rsidRDefault="00EE5693" w:rsidP="00EE5693">
      <w:pPr>
        <w:jc w:val="center"/>
        <w:rPr>
          <w:rFonts w:ascii="Bookman Old Style" w:hAnsi="Bookman Old Style"/>
          <w:b/>
          <w:noProof/>
          <w:color w:val="000000" w:themeColor="text1"/>
          <w:sz w:val="24"/>
          <w:szCs w:val="24"/>
        </w:rPr>
      </w:pPr>
      <w:r w:rsidRPr="00EC59BC">
        <w:rPr>
          <w:rFonts w:ascii="Bookman Old Style" w:hAnsi="Bookman Old Style"/>
          <w:b/>
          <w:color w:val="000000" w:themeColor="text1"/>
          <w:sz w:val="24"/>
          <w:szCs w:val="24"/>
        </w:rPr>
        <w:t>1 A 11 DE DEZEMBRO DE 2022</w:t>
      </w:r>
    </w:p>
    <w:p w14:paraId="09D4FBDA" w14:textId="77777777" w:rsidR="00EE5693" w:rsidRPr="00EC59BC" w:rsidRDefault="00EE5693" w:rsidP="00EE5693">
      <w:pPr>
        <w:jc w:val="center"/>
        <w:rPr>
          <w:rFonts w:ascii="Bookman Old Style" w:hAnsi="Bookman Old Style" w:cs="Calibri"/>
          <w:b/>
          <w:color w:val="000000" w:themeColor="text1"/>
          <w:sz w:val="24"/>
          <w:szCs w:val="24"/>
        </w:rPr>
      </w:pPr>
      <w:r w:rsidRPr="00EC59BC">
        <w:rPr>
          <w:rFonts w:ascii="Bookman Old Style" w:hAnsi="Bookman Old Style"/>
          <w:b/>
          <w:color w:val="000000" w:themeColor="text1"/>
          <w:sz w:val="24"/>
          <w:szCs w:val="24"/>
        </w:rPr>
        <w:t>KINSHASA, REPÚBLICA DEMOCRÁTICA DO CONGO</w:t>
      </w:r>
    </w:p>
    <w:p w14:paraId="4ACE8607" w14:textId="77777777" w:rsidR="00EE5693" w:rsidRPr="00EC59BC" w:rsidRDefault="00EE5693" w:rsidP="00EE5693">
      <w:pPr>
        <w:jc w:val="center"/>
        <w:rPr>
          <w:rFonts w:ascii="Bookman Old Style" w:hAnsi="Bookman Old Style" w:cs="Calibri"/>
          <w:b/>
          <w:color w:val="000000" w:themeColor="text1"/>
          <w:sz w:val="24"/>
          <w:szCs w:val="24"/>
        </w:rPr>
      </w:pPr>
    </w:p>
    <w:p w14:paraId="6FF89E58" w14:textId="77777777" w:rsidR="00EE5693" w:rsidRPr="00EC59BC" w:rsidRDefault="00EE5693" w:rsidP="00EE5693">
      <w:pPr>
        <w:jc w:val="center"/>
        <w:rPr>
          <w:rFonts w:ascii="Bookman Old Style" w:hAnsi="Bookman Old Style" w:cs="Calibri"/>
          <w:b/>
          <w:color w:val="000000" w:themeColor="text1"/>
          <w:sz w:val="24"/>
          <w:szCs w:val="24"/>
        </w:rPr>
      </w:pPr>
      <w:r w:rsidRPr="00EC59BC">
        <w:rPr>
          <w:rFonts w:ascii="Bookman Old Style" w:hAnsi="Bookman Old Style" w:cs="Calibri"/>
          <w:b/>
          <w:color w:val="000000" w:themeColor="text1"/>
          <w:sz w:val="24"/>
          <w:szCs w:val="24"/>
        </w:rPr>
        <w:t>RELATÓRIO DA COMISSÃO EXECUTIVA SOBRE AS QUESTÕES FINANCEIRAS</w:t>
      </w:r>
    </w:p>
    <w:p w14:paraId="2FDF9413" w14:textId="77777777" w:rsidR="00EE5693" w:rsidRPr="00EC59BC" w:rsidRDefault="00EE5693" w:rsidP="00EE5693">
      <w:pPr>
        <w:jc w:val="center"/>
        <w:rPr>
          <w:rFonts w:ascii="Bookman Old Style" w:hAnsi="Bookman Old Style" w:cs="Calibri"/>
          <w:b/>
          <w:color w:val="000000" w:themeColor="text1"/>
          <w:sz w:val="24"/>
          <w:szCs w:val="24"/>
        </w:rPr>
      </w:pPr>
      <w:r w:rsidRPr="00EC59BC">
        <w:rPr>
          <w:rFonts w:ascii="Bookman Old Style" w:hAnsi="Bookman Old Style"/>
          <w:b/>
          <w:color w:val="000000" w:themeColor="text1"/>
          <w:sz w:val="24"/>
          <w:szCs w:val="24"/>
        </w:rPr>
        <w:t>(RELATÓRIO DO TESOUREIRO)</w:t>
      </w:r>
    </w:p>
    <w:p w14:paraId="464220BC" w14:textId="77777777" w:rsidR="00D12480" w:rsidRDefault="00D12480" w:rsidP="00480C2B">
      <w:pPr>
        <w:pBdr>
          <w:bottom w:val="single" w:sz="12" w:space="1" w:color="auto"/>
        </w:pBdr>
        <w:spacing w:after="0" w:line="240" w:lineRule="auto"/>
        <w:jc w:val="center"/>
        <w:rPr>
          <w:rFonts w:ascii="Bookman Old Style" w:hAnsi="Bookman Old Style"/>
          <w:b/>
          <w:sz w:val="24"/>
          <w:szCs w:val="24"/>
        </w:rPr>
      </w:pPr>
    </w:p>
    <w:p w14:paraId="78EC7A1A" w14:textId="7396E017" w:rsidR="00480C2B" w:rsidRDefault="00BB06C5" w:rsidP="00480C2B">
      <w:pPr>
        <w:pBdr>
          <w:bottom w:val="single" w:sz="12" w:space="1" w:color="auto"/>
        </w:pBdr>
        <w:spacing w:after="0" w:line="240" w:lineRule="auto"/>
        <w:jc w:val="center"/>
        <w:rPr>
          <w:rFonts w:ascii="Bookman Old Style" w:hAnsi="Bookman Old Style"/>
          <w:b/>
          <w:sz w:val="24"/>
          <w:szCs w:val="24"/>
        </w:rPr>
      </w:pPr>
      <w:r>
        <w:rPr>
          <w:rFonts w:ascii="Bookman Old Style" w:hAnsi="Bookman Old Style"/>
          <w:b/>
          <w:sz w:val="24"/>
        </w:rPr>
        <w:t xml:space="preserve">DOCUMENTO 3:  PROPOSTA DE ORÇAMENTO PARA O EXERCÍCIO FINANCEIRO DE 1 DE ABRIL DE 2023 A 31 DE MARÇO 2024 </w:t>
      </w:r>
    </w:p>
    <w:p w14:paraId="2818A114" w14:textId="77777777" w:rsidR="00480C2B" w:rsidRPr="00480C2B" w:rsidRDefault="00480C2B" w:rsidP="00480C2B">
      <w:pPr>
        <w:pBdr>
          <w:bottom w:val="single" w:sz="12" w:space="1" w:color="auto"/>
        </w:pBdr>
        <w:spacing w:after="0" w:line="240" w:lineRule="auto"/>
        <w:jc w:val="center"/>
        <w:rPr>
          <w:rFonts w:ascii="Bookman Old Style" w:hAnsi="Bookman Old Style"/>
          <w:b/>
          <w:sz w:val="24"/>
          <w:szCs w:val="24"/>
        </w:rPr>
      </w:pPr>
    </w:p>
    <w:p w14:paraId="1E927ABB" w14:textId="61A779B0" w:rsidR="001D12F3" w:rsidRPr="00480C2B" w:rsidRDefault="001D12F3" w:rsidP="00480C2B">
      <w:pPr>
        <w:spacing w:after="0" w:line="240" w:lineRule="auto"/>
        <w:rPr>
          <w:rFonts w:ascii="Bookman Old Style" w:hAnsi="Bookman Old Style"/>
          <w:b/>
          <w:sz w:val="24"/>
          <w:szCs w:val="24"/>
        </w:rPr>
      </w:pPr>
    </w:p>
    <w:p w14:paraId="254C0990" w14:textId="3DE7AC98" w:rsidR="007F6BD4" w:rsidRPr="00EC59BC" w:rsidRDefault="007F6BD4" w:rsidP="002D4927">
      <w:pPr>
        <w:pStyle w:val="ListParagraph"/>
        <w:numPr>
          <w:ilvl w:val="0"/>
          <w:numId w:val="26"/>
        </w:numPr>
        <w:jc w:val="both"/>
        <w:rPr>
          <w:rFonts w:ascii="Bookman Old Style" w:hAnsi="Bookman Old Style"/>
          <w:b/>
          <w:bCs/>
          <w:sz w:val="24"/>
          <w:szCs w:val="24"/>
        </w:rPr>
      </w:pPr>
      <w:r w:rsidRPr="00EC59BC">
        <w:rPr>
          <w:rFonts w:ascii="Bookman Old Style" w:hAnsi="Bookman Old Style"/>
          <w:b/>
          <w:sz w:val="24"/>
          <w:szCs w:val="24"/>
        </w:rPr>
        <w:t>PREÂMBULO</w:t>
      </w:r>
    </w:p>
    <w:p w14:paraId="0EAD24D8" w14:textId="77777777" w:rsidR="00EC59BC" w:rsidRPr="00EC59BC" w:rsidRDefault="00EC59BC" w:rsidP="00EC59BC">
      <w:pPr>
        <w:pStyle w:val="ListParagraph"/>
        <w:jc w:val="both"/>
        <w:rPr>
          <w:rFonts w:ascii="Bookman Old Style" w:hAnsi="Bookman Old Style"/>
          <w:b/>
          <w:bCs/>
          <w:sz w:val="24"/>
          <w:szCs w:val="24"/>
        </w:rPr>
      </w:pPr>
    </w:p>
    <w:p w14:paraId="711797E0" w14:textId="241243AE" w:rsidR="007F6BD4" w:rsidRPr="00EC59BC" w:rsidRDefault="007F6BD4" w:rsidP="00EC59BC">
      <w:pPr>
        <w:pStyle w:val="ListParagraph"/>
        <w:numPr>
          <w:ilvl w:val="1"/>
          <w:numId w:val="26"/>
        </w:numPr>
        <w:ind w:left="709" w:hanging="709"/>
        <w:jc w:val="both"/>
        <w:rPr>
          <w:rFonts w:ascii="Bookman Old Style" w:hAnsi="Bookman Old Style"/>
          <w:color w:val="282828"/>
          <w:sz w:val="24"/>
          <w:szCs w:val="24"/>
          <w:shd w:val="clear" w:color="auto" w:fill="FFFFFF"/>
        </w:rPr>
      </w:pPr>
      <w:r>
        <w:rPr>
          <w:rFonts w:ascii="Bookman Old Style" w:hAnsi="Bookman Old Style"/>
          <w:color w:val="282828"/>
          <w:sz w:val="24"/>
          <w:shd w:val="clear" w:color="auto" w:fill="FFFFFF"/>
        </w:rPr>
        <w:t xml:space="preserve">A </w:t>
      </w:r>
      <w:r w:rsidR="00670996" w:rsidRPr="00EC59BC">
        <w:rPr>
          <w:rFonts w:ascii="Bookman Old Style" w:hAnsi="Bookman Old Style"/>
          <w:color w:val="282828"/>
          <w:sz w:val="24"/>
          <w:shd w:val="clear" w:color="auto" w:fill="FFFFFF"/>
        </w:rPr>
        <w:t>Assembleia Plenária</w:t>
      </w:r>
      <w:r>
        <w:rPr>
          <w:rFonts w:ascii="Bookman Old Style" w:hAnsi="Bookman Old Style"/>
          <w:color w:val="282828"/>
          <w:sz w:val="24"/>
          <w:shd w:val="clear" w:color="auto" w:fill="FFFFFF"/>
        </w:rPr>
        <w:t xml:space="preserve"> é convidada a analisar o orçamento da organização para o exercício financeiro de 1 de Abril de 2023 a 31 de Março 2024. Embora o orçamento se destine para cobrir as despesas operacionais da organização, é crucial que a Comissão Executiva aprecie o panorama maior a partir duma perspectiva global, incluindo o financiamento concedido por doadores que depress</w:t>
      </w:r>
      <w:r w:rsidR="00197867">
        <w:rPr>
          <w:rFonts w:ascii="Bookman Old Style" w:hAnsi="Bookman Old Style"/>
          <w:color w:val="282828"/>
          <w:sz w:val="24"/>
          <w:shd w:val="clear" w:color="auto" w:fill="FFFFFF"/>
        </w:rPr>
        <w:t>a</w:t>
      </w:r>
      <w:r>
        <w:rPr>
          <w:rFonts w:ascii="Bookman Old Style" w:hAnsi="Bookman Old Style"/>
          <w:color w:val="282828"/>
          <w:sz w:val="24"/>
          <w:shd w:val="clear" w:color="auto" w:fill="FFFFFF"/>
        </w:rPr>
        <w:t xml:space="preserve"> se torna cada vez menor, a falência das principais economias dos doadores devido à COVID-19, e o conflito em curso entre a Ucrânia e Rússia, que está a provocar uma inflação mundial de grandes proporções. Embora o Fórum tenha sido afectado negativamente, como muitas outras instituições, pelo estado actual do ambiente global, espera-se ainda que esteja à altura das aspirações dos cidadãos da SADC com a implementação da transformação em Parlamento da SADC nos próximos anos, e ao mesmo tempo poder operar em paridade com outros organismos interparlamentares tais como o Parlamento Panafricano, a EALA ou o Parlamento da CEDEAO, com vista a defender os interesses da SADC a nível internacional. O Fórum deve cumprir o seu mandato e, para poder cumpri-lo, deve ter o poder financeiro e a capacidade em termos de recursos para operar de forma eficiente, </w:t>
      </w:r>
      <w:r w:rsidR="00197867">
        <w:rPr>
          <w:rFonts w:ascii="Bookman Old Style" w:hAnsi="Bookman Old Style"/>
          <w:color w:val="282828"/>
          <w:sz w:val="24"/>
          <w:shd w:val="clear" w:color="auto" w:fill="FFFFFF"/>
        </w:rPr>
        <w:t>à semelhança das</w:t>
      </w:r>
      <w:r>
        <w:rPr>
          <w:rFonts w:ascii="Bookman Old Style" w:hAnsi="Bookman Old Style"/>
          <w:color w:val="282828"/>
          <w:sz w:val="24"/>
          <w:shd w:val="clear" w:color="auto" w:fill="FFFFFF"/>
        </w:rPr>
        <w:t xml:space="preserve"> outras organizações interparlamentares congéneres em todo o mundo. </w:t>
      </w:r>
    </w:p>
    <w:p w14:paraId="498CEF0A" w14:textId="77777777" w:rsidR="00EC59BC" w:rsidRPr="00396103" w:rsidRDefault="00EC59BC" w:rsidP="00EC59BC">
      <w:pPr>
        <w:pStyle w:val="ListParagraph"/>
        <w:ind w:left="709"/>
        <w:jc w:val="both"/>
        <w:rPr>
          <w:rFonts w:ascii="Bookman Old Style" w:hAnsi="Bookman Old Style"/>
          <w:color w:val="282828"/>
          <w:sz w:val="24"/>
          <w:szCs w:val="24"/>
          <w:shd w:val="clear" w:color="auto" w:fill="FFFFFF"/>
        </w:rPr>
      </w:pPr>
    </w:p>
    <w:p w14:paraId="312A5FEA" w14:textId="2957465C" w:rsidR="007F6BD4" w:rsidRPr="00EC59BC" w:rsidRDefault="007F6BD4" w:rsidP="00EC59BC">
      <w:pPr>
        <w:pStyle w:val="ListParagraph"/>
        <w:numPr>
          <w:ilvl w:val="1"/>
          <w:numId w:val="26"/>
        </w:numPr>
        <w:ind w:left="567" w:hanging="567"/>
        <w:jc w:val="both"/>
        <w:rPr>
          <w:rFonts w:ascii="Bookman Old Style" w:hAnsi="Bookman Old Style"/>
          <w:color w:val="282828"/>
          <w:sz w:val="24"/>
          <w:szCs w:val="24"/>
          <w:shd w:val="clear" w:color="auto" w:fill="FFFFFF"/>
        </w:rPr>
      </w:pPr>
      <w:r>
        <w:rPr>
          <w:rFonts w:ascii="Bookman Old Style" w:hAnsi="Bookman Old Style"/>
          <w:color w:val="282828"/>
          <w:sz w:val="24"/>
          <w:shd w:val="clear" w:color="auto" w:fill="FFFFFF"/>
        </w:rPr>
        <w:lastRenderedPageBreak/>
        <w:t xml:space="preserve">A </w:t>
      </w:r>
      <w:r w:rsidR="00670996" w:rsidRPr="00EC59BC">
        <w:rPr>
          <w:rFonts w:ascii="Bookman Old Style" w:hAnsi="Bookman Old Style"/>
          <w:color w:val="282828"/>
          <w:sz w:val="24"/>
          <w:shd w:val="clear" w:color="auto" w:fill="FFFFFF"/>
        </w:rPr>
        <w:t>Assembleia Plenária</w:t>
      </w:r>
      <w:r>
        <w:rPr>
          <w:rFonts w:ascii="Bookman Old Style" w:hAnsi="Bookman Old Style"/>
          <w:color w:val="282828"/>
          <w:sz w:val="24"/>
          <w:shd w:val="clear" w:color="auto" w:fill="FFFFFF"/>
        </w:rPr>
        <w:t xml:space="preserve"> é, portanto, convidada a apreciar e submeter a debate os seguintes factores que devem posteriormente contribuir para a apreciação pela comissão da capacidade de resposta da proposta do orçamento para as aspirações do Fórum:</w:t>
      </w:r>
    </w:p>
    <w:p w14:paraId="477804D1" w14:textId="77777777" w:rsidR="00EC59BC" w:rsidRPr="00EC59BC" w:rsidRDefault="00EC59BC" w:rsidP="00EC59BC">
      <w:pPr>
        <w:pStyle w:val="ListParagraph"/>
        <w:ind w:left="709"/>
        <w:jc w:val="both"/>
        <w:rPr>
          <w:rStyle w:val="Strong"/>
          <w:rFonts w:ascii="Bookman Old Style" w:hAnsi="Bookman Old Style"/>
          <w:b w:val="0"/>
          <w:bCs w:val="0"/>
          <w:sz w:val="24"/>
          <w:szCs w:val="24"/>
        </w:rPr>
      </w:pPr>
    </w:p>
    <w:p w14:paraId="41AE7172" w14:textId="2C049940" w:rsidR="007F6BD4" w:rsidRPr="0039610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Se o actual orçamento motiva o comportamento certo por parte dos membros do Fórum e da sua administração;</w:t>
      </w:r>
    </w:p>
    <w:p w14:paraId="5C42E94B" w14:textId="77777777" w:rsidR="007F6BD4" w:rsidRPr="00197867" w:rsidRDefault="007F6BD4" w:rsidP="00EC59BC">
      <w:pPr>
        <w:pStyle w:val="ListParagraph"/>
        <w:ind w:left="709" w:hanging="709"/>
        <w:jc w:val="both"/>
        <w:rPr>
          <w:rStyle w:val="Strong"/>
          <w:rFonts w:ascii="Bookman Old Style" w:hAnsi="Bookman Old Style"/>
          <w:b w:val="0"/>
          <w:bCs w:val="0"/>
          <w:sz w:val="24"/>
          <w:szCs w:val="24"/>
        </w:rPr>
      </w:pPr>
    </w:p>
    <w:p w14:paraId="0DFCDC02" w14:textId="3F12F586"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 xml:space="preserve">A medida em que o Fórum é apoiado pelo financiamento concedido por doadores para os programas temáticos e também na facilitação de algumas das suas reuniões estatutárias, incluindo a percepção da influência do doador sobre as suas prioridades; </w:t>
      </w:r>
    </w:p>
    <w:p w14:paraId="3890F292" w14:textId="77777777" w:rsidR="007F6BD4" w:rsidRPr="00197867" w:rsidRDefault="007F6BD4" w:rsidP="00EC59BC">
      <w:pPr>
        <w:pStyle w:val="ListParagraph"/>
        <w:ind w:left="709" w:hanging="709"/>
        <w:jc w:val="both"/>
        <w:rPr>
          <w:rStyle w:val="Strong"/>
          <w:rFonts w:ascii="Bookman Old Style" w:hAnsi="Bookman Old Style"/>
          <w:b w:val="0"/>
          <w:bCs w:val="0"/>
          <w:sz w:val="24"/>
          <w:szCs w:val="24"/>
        </w:rPr>
      </w:pPr>
    </w:p>
    <w:p w14:paraId="2BB6AD92" w14:textId="40563F48"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 xml:space="preserve">Que embora o Fórum tenha um mandato claro de elaborar leis-modelo, que se tornarão ainda mais cruciais com a transformação, se o Fórum </w:t>
      </w:r>
      <w:r w:rsidR="00197867">
        <w:rPr>
          <w:rStyle w:val="Strong"/>
          <w:rFonts w:ascii="Bookman Old Style" w:hAnsi="Bookman Old Style"/>
          <w:b w:val="0"/>
          <w:sz w:val="24"/>
        </w:rPr>
        <w:t>tem</w:t>
      </w:r>
      <w:r>
        <w:rPr>
          <w:rStyle w:val="Strong"/>
          <w:rFonts w:ascii="Bookman Old Style" w:hAnsi="Bookman Old Style"/>
          <w:b w:val="0"/>
          <w:sz w:val="24"/>
        </w:rPr>
        <w:t xml:space="preserve"> recursos financeiros suficientes para o efeito sem contar com o financiamento concedido por doadores, ou se de facto tem fundos suficientes para outras actividades temáticas a partir do seu orçamento central. A implicação prática é que, se a Assembleia Plenária decidir implementar um programa, digamos sobre «</w:t>
      </w:r>
      <w:r>
        <w:rPr>
          <w:rStyle w:val="Strong"/>
          <w:rFonts w:ascii="Bookman Old Style" w:hAnsi="Bookman Old Style"/>
          <w:b w:val="0"/>
          <w:i/>
          <w:iCs/>
          <w:sz w:val="24"/>
        </w:rPr>
        <w:t>o envolvimento dos parlamentos em matéria de alterações climáticas</w:t>
      </w:r>
      <w:r>
        <w:rPr>
          <w:rStyle w:val="Strong"/>
          <w:rFonts w:ascii="Bookman Old Style" w:hAnsi="Bookman Old Style"/>
          <w:b w:val="0"/>
          <w:sz w:val="24"/>
        </w:rPr>
        <w:t>», não haverá nenhumas verbas para tal sem um doador que responda a questões ambientais na SADC. De facto, isto limita os programas e as comissões, bem como outras iniciativas, que devem ser implementadas pelo Fórum;</w:t>
      </w:r>
    </w:p>
    <w:p w14:paraId="1A2D8E69" w14:textId="77777777" w:rsidR="007F6BD4" w:rsidRPr="00197867" w:rsidRDefault="007F6BD4" w:rsidP="00EC59BC">
      <w:pPr>
        <w:pStyle w:val="ListParagraph"/>
        <w:ind w:left="709" w:hanging="709"/>
        <w:jc w:val="both"/>
        <w:rPr>
          <w:rStyle w:val="Strong"/>
          <w:rFonts w:ascii="Bookman Old Style" w:hAnsi="Bookman Old Style"/>
          <w:b w:val="0"/>
          <w:bCs w:val="0"/>
          <w:sz w:val="24"/>
          <w:szCs w:val="24"/>
        </w:rPr>
      </w:pPr>
    </w:p>
    <w:p w14:paraId="60BD19D9" w14:textId="06CF928F"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Se a falta de recursos para as actividades estatutárias e a falta de funcionários nucleares sufocam a liderança e o crescimento da organização. O gabinete da Secretária-geral, que se supõe operar a um nível estratégico tem de ponderar e dedicar-se tanto às operações estratégicas com às práticas, e isto é só possível pelo facto de a Secretária-geral ter sido também a antiga Directora de Programas e compreender processos operacionais tais como a mobilização de recursos. Contudo, isto coloc</w:t>
      </w:r>
      <w:r w:rsidR="00197867">
        <w:rPr>
          <w:rStyle w:val="Strong"/>
          <w:rFonts w:ascii="Bookman Old Style" w:hAnsi="Bookman Old Style"/>
          <w:b w:val="0"/>
          <w:sz w:val="24"/>
        </w:rPr>
        <w:t>a</w:t>
      </w:r>
      <w:r>
        <w:rPr>
          <w:rStyle w:val="Strong"/>
          <w:rFonts w:ascii="Bookman Old Style" w:hAnsi="Bookman Old Style"/>
          <w:b w:val="0"/>
          <w:sz w:val="24"/>
        </w:rPr>
        <w:t xml:space="preserve"> um enorme volume de trabalho sobre os ombros do gabinete da Secretária-geral, o resultado sendo que nenhuma actividade se pode realizar sem o contributo activo da Secretária-geral na planificação, preparação de comunicações e comparência aos eventos, para garantir a visibilidade da liderança do secretariado do Fórum. Sem um provimento de pessoal adequado e/ou fortes modalidades de destacamento, pode haver questões ligadas à ética organizacional que v</w:t>
      </w:r>
      <w:r w:rsidR="00197867">
        <w:rPr>
          <w:rStyle w:val="Strong"/>
          <w:rFonts w:ascii="Bookman Old Style" w:hAnsi="Bookman Old Style"/>
          <w:b w:val="0"/>
          <w:sz w:val="24"/>
        </w:rPr>
        <w:t>ão,</w:t>
      </w:r>
      <w:r>
        <w:rPr>
          <w:rStyle w:val="Strong"/>
          <w:rFonts w:ascii="Bookman Old Style" w:hAnsi="Bookman Old Style"/>
          <w:b w:val="0"/>
          <w:sz w:val="24"/>
        </w:rPr>
        <w:t xml:space="preserve"> desse modo</w:t>
      </w:r>
      <w:r w:rsidR="00197867">
        <w:rPr>
          <w:rStyle w:val="Strong"/>
          <w:rFonts w:ascii="Bookman Old Style" w:hAnsi="Bookman Old Style"/>
          <w:b w:val="0"/>
          <w:sz w:val="24"/>
        </w:rPr>
        <w:t>,</w:t>
      </w:r>
      <w:r>
        <w:rPr>
          <w:rStyle w:val="Strong"/>
          <w:rFonts w:ascii="Bookman Old Style" w:hAnsi="Bookman Old Style"/>
          <w:b w:val="0"/>
          <w:sz w:val="24"/>
        </w:rPr>
        <w:t xml:space="preserve"> precisar de acauteladas;</w:t>
      </w:r>
    </w:p>
    <w:p w14:paraId="49763B34" w14:textId="77777777" w:rsidR="00EC59BC" w:rsidRPr="00EC59BC" w:rsidRDefault="00EC59BC" w:rsidP="00EC59BC">
      <w:pPr>
        <w:pStyle w:val="ListParagraph"/>
        <w:ind w:left="709"/>
        <w:jc w:val="both"/>
        <w:rPr>
          <w:rStyle w:val="Strong"/>
          <w:rFonts w:ascii="Bookman Old Style" w:hAnsi="Bookman Old Style"/>
          <w:b w:val="0"/>
          <w:bCs w:val="0"/>
          <w:sz w:val="24"/>
          <w:szCs w:val="24"/>
        </w:rPr>
      </w:pPr>
    </w:p>
    <w:p w14:paraId="72490831" w14:textId="612AFE9A"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 xml:space="preserve">O ano que se avizinha, isto é, 2023/2024, parece ser um ano de desafios. Os custos administrativos superaram o crescimento de receitas, e isto tem de ser </w:t>
      </w:r>
      <w:r w:rsidR="00197867">
        <w:rPr>
          <w:rStyle w:val="Strong"/>
          <w:rFonts w:ascii="Bookman Old Style" w:hAnsi="Bookman Old Style"/>
          <w:b w:val="0"/>
          <w:sz w:val="24"/>
        </w:rPr>
        <w:t>resolvido</w:t>
      </w:r>
      <w:r>
        <w:rPr>
          <w:rStyle w:val="Strong"/>
          <w:rFonts w:ascii="Bookman Old Style" w:hAnsi="Bookman Old Style"/>
          <w:b w:val="0"/>
          <w:sz w:val="24"/>
        </w:rPr>
        <w:t xml:space="preserve">. O Fórum deve pensar em estratégias visando gerir os custos administrativos, ao mesmo tempo que possibilita </w:t>
      </w:r>
      <w:r>
        <w:rPr>
          <w:rStyle w:val="Strong"/>
          <w:rFonts w:ascii="Bookman Old Style" w:hAnsi="Bookman Old Style"/>
          <w:b w:val="0"/>
          <w:sz w:val="24"/>
        </w:rPr>
        <w:lastRenderedPageBreak/>
        <w:t>a flexibilidade e a variabilidade para lidar com a incerteza no decorrer dos próximos anos.</w:t>
      </w:r>
    </w:p>
    <w:p w14:paraId="76CC2673" w14:textId="77777777" w:rsidR="007F6BD4" w:rsidRPr="00153A43" w:rsidRDefault="007F6BD4" w:rsidP="00EC59BC">
      <w:pPr>
        <w:pStyle w:val="ListParagraph"/>
        <w:ind w:left="709" w:hanging="709"/>
        <w:jc w:val="both"/>
        <w:rPr>
          <w:rStyle w:val="Strong"/>
          <w:b w:val="0"/>
          <w:bCs w:val="0"/>
        </w:rPr>
      </w:pPr>
    </w:p>
    <w:p w14:paraId="10EC044A" w14:textId="64AB50A3"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O FP-SADC deve rever os seus principais indicadores de desempenho (KPIs). O centro das atenções da instituiç</w:t>
      </w:r>
      <w:r w:rsidR="00197867">
        <w:rPr>
          <w:rStyle w:val="Strong"/>
          <w:rFonts w:ascii="Bookman Old Style" w:hAnsi="Bookman Old Style"/>
          <w:b w:val="0"/>
          <w:sz w:val="24"/>
        </w:rPr>
        <w:t>ão</w:t>
      </w:r>
      <w:r>
        <w:rPr>
          <w:rStyle w:val="Strong"/>
          <w:rFonts w:ascii="Bookman Old Style" w:hAnsi="Bookman Old Style"/>
          <w:b w:val="0"/>
          <w:sz w:val="24"/>
        </w:rPr>
        <w:t xml:space="preserve"> no desempenho e gestão de riscos requer uma reavaliação da métrica relevante aos objectivos actuais do FP-SADC e, portanto, exige que o Fórum estabeleça metas realistas e facilite a sua implementação através de resoluções. É importa</w:t>
      </w:r>
      <w:r w:rsidR="00197867">
        <w:rPr>
          <w:rStyle w:val="Strong"/>
          <w:rFonts w:ascii="Bookman Old Style" w:hAnsi="Bookman Old Style"/>
          <w:b w:val="0"/>
          <w:sz w:val="24"/>
        </w:rPr>
        <w:t>nte</w:t>
      </w:r>
      <w:r>
        <w:rPr>
          <w:rStyle w:val="Strong"/>
          <w:rFonts w:ascii="Bookman Old Style" w:hAnsi="Bookman Old Style"/>
          <w:b w:val="0"/>
          <w:sz w:val="24"/>
        </w:rPr>
        <w:t xml:space="preserve"> alinhar as áreas de focalização de 2023/2024 e assegurar a redefinição das prioridades da métrica de desempenho para os recursos disponíveis.</w:t>
      </w:r>
    </w:p>
    <w:p w14:paraId="496D3DC2" w14:textId="77777777" w:rsidR="007F6BD4" w:rsidRPr="00197867" w:rsidRDefault="007F6BD4" w:rsidP="00EC59BC">
      <w:pPr>
        <w:pStyle w:val="ListParagraph"/>
        <w:ind w:left="709" w:hanging="709"/>
        <w:jc w:val="both"/>
        <w:rPr>
          <w:rFonts w:ascii="Bookman Old Style" w:hAnsi="Bookman Old Style"/>
          <w:color w:val="282828"/>
          <w:sz w:val="24"/>
          <w:szCs w:val="24"/>
          <w:shd w:val="clear" w:color="auto" w:fill="FFFFFF"/>
        </w:rPr>
      </w:pPr>
    </w:p>
    <w:p w14:paraId="7EE72220" w14:textId="223A62F5"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Tendo em consideração as vagas existentes, os funcionários em outros postos são mobilizados para as áreas de necessidade segundo os postos vagos, fazendo com que seja difícil a focalização dos funcionários nos seus respectivos principais indicadores de desempenho (KPIs) de acordo com os seus respectivos contratos de trabalho com o Fórum. Os indicadores-chave de desempenho (KPIs) estão</w:t>
      </w:r>
      <w:r w:rsidR="00197867">
        <w:rPr>
          <w:rStyle w:val="Strong"/>
          <w:rFonts w:ascii="Bookman Old Style" w:hAnsi="Bookman Old Style"/>
          <w:b w:val="0"/>
          <w:sz w:val="24"/>
        </w:rPr>
        <w:t>, deste modo,</w:t>
      </w:r>
      <w:r>
        <w:rPr>
          <w:rStyle w:val="Strong"/>
          <w:rFonts w:ascii="Bookman Old Style" w:hAnsi="Bookman Old Style"/>
          <w:b w:val="0"/>
          <w:sz w:val="24"/>
        </w:rPr>
        <w:t xml:space="preserve"> a tornar-se negociáveis e falta-lhes precisão, sufocando assim a inovação e dificultando a resposta do Fórum ao seu Plano Estratégico.</w:t>
      </w:r>
    </w:p>
    <w:p w14:paraId="04151FFD" w14:textId="77777777" w:rsidR="007F6BD4" w:rsidRPr="00153A43" w:rsidRDefault="007F6BD4" w:rsidP="00EC59BC">
      <w:pPr>
        <w:pStyle w:val="ListParagraph"/>
        <w:ind w:left="709" w:hanging="709"/>
        <w:jc w:val="both"/>
        <w:rPr>
          <w:rStyle w:val="Strong"/>
          <w:b w:val="0"/>
          <w:bCs w:val="0"/>
        </w:rPr>
      </w:pPr>
    </w:p>
    <w:p w14:paraId="3978D1DA" w14:textId="36509715"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 xml:space="preserve">Os recursos disponíveis e a limitação dos orçamentos da organização </w:t>
      </w:r>
      <w:r w:rsidR="00197867">
        <w:rPr>
          <w:rStyle w:val="Strong"/>
          <w:rFonts w:ascii="Bookman Old Style" w:hAnsi="Bookman Old Style"/>
          <w:b w:val="0"/>
          <w:sz w:val="24"/>
        </w:rPr>
        <w:t>colocaram</w:t>
      </w:r>
      <w:r>
        <w:rPr>
          <w:rStyle w:val="Strong"/>
          <w:rFonts w:ascii="Bookman Old Style" w:hAnsi="Bookman Old Style"/>
          <w:b w:val="0"/>
          <w:sz w:val="24"/>
        </w:rPr>
        <w:t xml:space="preserve"> o desempenho financeiro acima da estratégia, e prioriz</w:t>
      </w:r>
      <w:r w:rsidR="00197867">
        <w:rPr>
          <w:rStyle w:val="Strong"/>
          <w:rFonts w:ascii="Bookman Old Style" w:hAnsi="Bookman Old Style"/>
          <w:b w:val="0"/>
          <w:sz w:val="24"/>
        </w:rPr>
        <w:t>aram</w:t>
      </w:r>
      <w:r>
        <w:rPr>
          <w:rStyle w:val="Strong"/>
          <w:rFonts w:ascii="Bookman Old Style" w:hAnsi="Bookman Old Style"/>
          <w:b w:val="0"/>
          <w:sz w:val="24"/>
        </w:rPr>
        <w:t>-</w:t>
      </w:r>
      <w:r w:rsidR="00197867">
        <w:rPr>
          <w:rStyle w:val="Strong"/>
          <w:rFonts w:ascii="Bookman Old Style" w:hAnsi="Bookman Old Style"/>
          <w:b w:val="0"/>
          <w:sz w:val="24"/>
        </w:rPr>
        <w:t>n</w:t>
      </w:r>
      <w:r>
        <w:rPr>
          <w:rStyle w:val="Strong"/>
          <w:rFonts w:ascii="Bookman Old Style" w:hAnsi="Bookman Old Style"/>
          <w:b w:val="0"/>
          <w:sz w:val="24"/>
        </w:rPr>
        <w:t>o, sob a pressão de cumprir as cifras orçamentais e manter-se nos limites das contribuições pagas pelos membros com pouca capacidade de se ajustar.</w:t>
      </w:r>
    </w:p>
    <w:p w14:paraId="6B1760B9" w14:textId="77777777" w:rsidR="007F6BD4" w:rsidRPr="00153A43" w:rsidRDefault="007F6BD4" w:rsidP="00EC59BC">
      <w:pPr>
        <w:pStyle w:val="ListParagraph"/>
        <w:ind w:left="709" w:hanging="709"/>
        <w:jc w:val="both"/>
        <w:rPr>
          <w:rFonts w:ascii="Bookman Old Style" w:hAnsi="Bookman Old Style"/>
          <w:sz w:val="24"/>
          <w:szCs w:val="24"/>
          <w:shd w:val="clear" w:color="auto" w:fill="FFFFFF"/>
        </w:rPr>
      </w:pPr>
    </w:p>
    <w:p w14:paraId="7AE692D0" w14:textId="2C7A7F24" w:rsidR="007F6BD4" w:rsidRPr="00153A43" w:rsidRDefault="007F6BD4" w:rsidP="00EC59BC">
      <w:pPr>
        <w:pStyle w:val="ListParagraph"/>
        <w:numPr>
          <w:ilvl w:val="2"/>
          <w:numId w:val="26"/>
        </w:numPr>
        <w:ind w:left="709" w:hanging="709"/>
        <w:jc w:val="both"/>
        <w:rPr>
          <w:rStyle w:val="Strong"/>
          <w:rFonts w:ascii="Bookman Old Style" w:hAnsi="Bookman Old Style"/>
          <w:b w:val="0"/>
          <w:bCs w:val="0"/>
          <w:sz w:val="24"/>
          <w:szCs w:val="24"/>
        </w:rPr>
      </w:pPr>
      <w:r>
        <w:rPr>
          <w:rStyle w:val="Strong"/>
          <w:rFonts w:ascii="Bookman Old Style" w:hAnsi="Bookman Old Style"/>
          <w:b w:val="0"/>
          <w:sz w:val="24"/>
        </w:rPr>
        <w:t>Há uma necessidade de se avaliar factores internos de capacitação tais como o custo e o valor da estrutura do Secretariado, incluindo postos e capacidades-chave.</w:t>
      </w:r>
    </w:p>
    <w:p w14:paraId="7A9B2E45" w14:textId="77777777" w:rsidR="007F6BD4" w:rsidRPr="00197867" w:rsidRDefault="007F6BD4" w:rsidP="00153A43">
      <w:pPr>
        <w:pStyle w:val="ListParagraph"/>
        <w:jc w:val="both"/>
        <w:rPr>
          <w:rStyle w:val="Strong"/>
          <w:rFonts w:ascii="Bookman Old Style" w:hAnsi="Bookman Old Style"/>
          <w:b w:val="0"/>
          <w:bCs w:val="0"/>
          <w:sz w:val="24"/>
          <w:szCs w:val="24"/>
        </w:rPr>
      </w:pPr>
    </w:p>
    <w:p w14:paraId="2E4AFEE2" w14:textId="0E8A8590" w:rsidR="007F6BD4" w:rsidRPr="00EC59BC" w:rsidRDefault="007F6BD4" w:rsidP="00EC59BC">
      <w:pPr>
        <w:pStyle w:val="ListParagraph"/>
        <w:numPr>
          <w:ilvl w:val="1"/>
          <w:numId w:val="26"/>
        </w:numPr>
        <w:ind w:left="567" w:hanging="567"/>
        <w:jc w:val="both"/>
        <w:rPr>
          <w:rFonts w:ascii="Bookman Old Style" w:hAnsi="Bookman Old Style"/>
          <w:sz w:val="24"/>
          <w:szCs w:val="24"/>
        </w:rPr>
      </w:pPr>
      <w:r w:rsidRPr="00EC59BC">
        <w:rPr>
          <w:rStyle w:val="Strong"/>
          <w:rFonts w:ascii="Bookman Old Style" w:hAnsi="Bookman Old Style"/>
          <w:b w:val="0"/>
          <w:sz w:val="24"/>
        </w:rPr>
        <w:t xml:space="preserve">O que precede vai ajudar a Assembleia Plenária a acabar por avaliar todas as equações necessárias para se evitar o perigo de se pressupor que a transformação iminente é um dado adquirido que requer pouca ou nenhuma discussão ligada às finanças da organização e a entrada em vigor do Protocolo. Por exemplo, </w:t>
      </w:r>
      <w:r w:rsidRPr="00EC59BC">
        <w:rPr>
          <w:rFonts w:ascii="Bookman Old Style" w:hAnsi="Bookman Old Style"/>
          <w:sz w:val="24"/>
        </w:rPr>
        <w:t xml:space="preserve">com os actuais níveis de provimento de pessoal, se não se aumentar as contribuições, estima-se que, até 2026, a conta salarial absorverá 99% das contribuições pagas pelos membros. Isto significa que, sem aumentar as contribuições pagas pelos membros e sem financiamento externo, as actividades de base do Fórum, incluindo a cooperação e a diplomacia interparlamentares, serão </w:t>
      </w:r>
      <w:r w:rsidR="008C4113" w:rsidRPr="00EC59BC">
        <w:rPr>
          <w:rFonts w:ascii="Bookman Old Style" w:hAnsi="Bookman Old Style"/>
          <w:sz w:val="24"/>
        </w:rPr>
        <w:t>afectadas de forma considerável</w:t>
      </w:r>
      <w:r w:rsidRPr="00EC59BC">
        <w:rPr>
          <w:rFonts w:ascii="Bookman Old Style" w:hAnsi="Bookman Old Style"/>
          <w:sz w:val="24"/>
        </w:rPr>
        <w:t xml:space="preserve"> e negativamente, uma vez que não haverá nenhuns recursos financeiros para atender à implementação das suas actividades estatutárias e de outras actividades de base depois do pagamento dos salários.</w:t>
      </w:r>
    </w:p>
    <w:p w14:paraId="0026F563" w14:textId="77777777" w:rsidR="004258F5" w:rsidRPr="00EC59BC" w:rsidRDefault="004258F5" w:rsidP="00EC59BC">
      <w:pPr>
        <w:pStyle w:val="ListParagraph"/>
        <w:ind w:left="567" w:hanging="567"/>
        <w:jc w:val="both"/>
        <w:rPr>
          <w:rStyle w:val="Strong"/>
          <w:rFonts w:ascii="Bookman Old Style" w:hAnsi="Bookman Old Style"/>
          <w:b w:val="0"/>
          <w:bCs w:val="0"/>
          <w:sz w:val="24"/>
          <w:szCs w:val="24"/>
        </w:rPr>
      </w:pPr>
    </w:p>
    <w:p w14:paraId="39154B76" w14:textId="020278DE" w:rsidR="009944B2" w:rsidRPr="00EC59BC" w:rsidRDefault="000B601F" w:rsidP="00EC59BC">
      <w:pPr>
        <w:pStyle w:val="ListParagraph"/>
        <w:numPr>
          <w:ilvl w:val="1"/>
          <w:numId w:val="26"/>
        </w:numPr>
        <w:ind w:left="567" w:hanging="567"/>
        <w:jc w:val="both"/>
        <w:rPr>
          <w:rStyle w:val="Strong"/>
          <w:rFonts w:ascii="Bookman Old Style" w:hAnsi="Bookman Old Style"/>
          <w:b w:val="0"/>
          <w:bCs w:val="0"/>
          <w:sz w:val="24"/>
          <w:szCs w:val="24"/>
        </w:rPr>
      </w:pPr>
      <w:r w:rsidRPr="00EC59BC">
        <w:rPr>
          <w:rStyle w:val="Strong"/>
          <w:rFonts w:ascii="Bookman Old Style" w:hAnsi="Bookman Old Style"/>
          <w:b w:val="0"/>
          <w:sz w:val="24"/>
        </w:rPr>
        <w:lastRenderedPageBreak/>
        <w:t xml:space="preserve">Como seria também do conhecimento da </w:t>
      </w:r>
      <w:r w:rsidR="00670996" w:rsidRPr="00EC59BC">
        <w:rPr>
          <w:rFonts w:ascii="Bookman Old Style" w:hAnsi="Bookman Old Style"/>
          <w:color w:val="282828"/>
          <w:sz w:val="24"/>
          <w:shd w:val="clear" w:color="auto" w:fill="FFFFFF"/>
        </w:rPr>
        <w:t>Assembleia Plenária</w:t>
      </w:r>
      <w:r w:rsidRPr="00EC59BC">
        <w:rPr>
          <w:rStyle w:val="Strong"/>
          <w:rFonts w:ascii="Bookman Old Style" w:hAnsi="Bookman Old Style"/>
          <w:b w:val="0"/>
          <w:sz w:val="24"/>
        </w:rPr>
        <w:t xml:space="preserve">, a 51.ª Assembleia Plenária emendou a Constituição por forma a incluir a criação do fundo fiduciário. </w:t>
      </w:r>
      <w:bookmarkStart w:id="0" w:name="_Hlk116050441"/>
      <w:r w:rsidRPr="00EC59BC">
        <w:rPr>
          <w:rStyle w:val="Strong"/>
          <w:rFonts w:ascii="Bookman Old Style" w:hAnsi="Bookman Old Style"/>
          <w:b w:val="0"/>
          <w:sz w:val="24"/>
        </w:rPr>
        <w:t xml:space="preserve">O mesmo está previsto no </w:t>
      </w:r>
      <w:r w:rsidRPr="00EC59BC">
        <w:rPr>
          <w:rFonts w:ascii="Bookman Old Style" w:hAnsi="Bookman Old Style"/>
          <w:sz w:val="24"/>
        </w:rPr>
        <w:t xml:space="preserve">artigo 13.º. </w:t>
      </w:r>
      <w:bookmarkEnd w:id="0"/>
      <w:r w:rsidRPr="00EC59BC">
        <w:rPr>
          <w:rFonts w:ascii="Bookman Old Style" w:hAnsi="Bookman Old Style"/>
          <w:sz w:val="24"/>
        </w:rPr>
        <w:t>Contudo, a</w:t>
      </w:r>
      <w:r w:rsidRPr="00EC59BC">
        <w:rPr>
          <w:rStyle w:val="Strong"/>
          <w:rFonts w:ascii="Bookman Old Style" w:hAnsi="Bookman Old Style"/>
          <w:b w:val="0"/>
          <w:sz w:val="24"/>
        </w:rPr>
        <w:t xml:space="preserve">inda que </w:t>
      </w:r>
      <w:r w:rsidR="008C4113" w:rsidRPr="00EC59BC">
        <w:rPr>
          <w:rStyle w:val="Strong"/>
          <w:rFonts w:ascii="Bookman Old Style" w:hAnsi="Bookman Old Style"/>
          <w:b w:val="0"/>
          <w:sz w:val="24"/>
        </w:rPr>
        <w:t xml:space="preserve">se consiga registar </w:t>
      </w:r>
      <w:r w:rsidRPr="00EC59BC">
        <w:rPr>
          <w:rStyle w:val="Strong"/>
          <w:rFonts w:ascii="Bookman Old Style" w:hAnsi="Bookman Old Style"/>
          <w:b w:val="0"/>
          <w:sz w:val="24"/>
        </w:rPr>
        <w:t>o Fundo Fiduciário do FP-SADC e seus Sucessores nos próximos meses, levará tempo (pelo menos 2 a 3 anos) para estar em funcionamento e canalizar fundos para o Fórum. Também a criação do fundo fiduciário por si só não garante que se consiga mobilizar recursos financeiros suficientes dentro do período que se considera crítico. Entretanto, o Fórum tem de injectar um capital de lançamento ao fundo fiduciário e incorrer outros custos conexos, acarretando assim uma despesa operacional adicional.</w:t>
      </w:r>
    </w:p>
    <w:p w14:paraId="62D8B21B" w14:textId="77777777" w:rsidR="009944B2" w:rsidRPr="00EC59BC" w:rsidRDefault="009944B2" w:rsidP="00EC59BC">
      <w:pPr>
        <w:ind w:left="567" w:hanging="567"/>
        <w:jc w:val="both"/>
        <w:rPr>
          <w:rStyle w:val="Strong"/>
          <w:rFonts w:ascii="Bookman Old Style" w:hAnsi="Bookman Old Style"/>
          <w:b w:val="0"/>
          <w:bCs w:val="0"/>
          <w:sz w:val="24"/>
          <w:szCs w:val="24"/>
        </w:rPr>
      </w:pPr>
    </w:p>
    <w:p w14:paraId="223C5DEA" w14:textId="3A95FEE3" w:rsidR="007F6BD4" w:rsidRPr="00EC59BC" w:rsidRDefault="007F6BD4" w:rsidP="00EC59BC">
      <w:pPr>
        <w:pStyle w:val="ListParagraph"/>
        <w:numPr>
          <w:ilvl w:val="1"/>
          <w:numId w:val="26"/>
        </w:numPr>
        <w:ind w:left="567" w:hanging="567"/>
        <w:jc w:val="both"/>
        <w:rPr>
          <w:rStyle w:val="Strong"/>
          <w:rFonts w:ascii="Bookman Old Style" w:hAnsi="Bookman Old Style"/>
          <w:b w:val="0"/>
          <w:bCs w:val="0"/>
          <w:sz w:val="24"/>
          <w:szCs w:val="24"/>
        </w:rPr>
      </w:pPr>
      <w:r w:rsidRPr="00EC59BC">
        <w:rPr>
          <w:rStyle w:val="Strong"/>
          <w:rFonts w:ascii="Bookman Old Style" w:hAnsi="Bookman Old Style"/>
          <w:b w:val="0"/>
          <w:sz w:val="24"/>
        </w:rPr>
        <w:t xml:space="preserve">Atendendo ao que precede, a </w:t>
      </w:r>
      <w:r w:rsidR="00670996" w:rsidRPr="00EC59BC">
        <w:rPr>
          <w:rFonts w:ascii="Bookman Old Style" w:hAnsi="Bookman Old Style"/>
          <w:color w:val="282828"/>
          <w:sz w:val="24"/>
          <w:shd w:val="clear" w:color="auto" w:fill="FFFFFF"/>
        </w:rPr>
        <w:t>Assembleia Plenária</w:t>
      </w:r>
      <w:r w:rsidRPr="00EC59BC">
        <w:rPr>
          <w:rStyle w:val="Strong"/>
          <w:rFonts w:ascii="Bookman Old Style" w:hAnsi="Bookman Old Style"/>
          <w:b w:val="0"/>
          <w:sz w:val="24"/>
        </w:rPr>
        <w:t xml:space="preserve"> precisa de avaliar a base de recursos e a sustentabilidade da organização, e aferir se ficam alinhadas com a visão estratégica global. </w:t>
      </w:r>
    </w:p>
    <w:p w14:paraId="281075A2" w14:textId="77777777" w:rsidR="009944B2" w:rsidRPr="00153A43" w:rsidRDefault="009944B2" w:rsidP="00EC59BC">
      <w:pPr>
        <w:ind w:left="567" w:hanging="567"/>
        <w:jc w:val="both"/>
        <w:rPr>
          <w:rStyle w:val="Strong"/>
          <w:rFonts w:ascii="Bookman Old Style" w:hAnsi="Bookman Old Style"/>
          <w:b w:val="0"/>
          <w:bCs w:val="0"/>
          <w:sz w:val="24"/>
          <w:szCs w:val="24"/>
        </w:rPr>
      </w:pPr>
    </w:p>
    <w:p w14:paraId="00EBA8E9" w14:textId="415CD962" w:rsidR="007F6BD4" w:rsidRPr="00153A43" w:rsidRDefault="007F6BD4" w:rsidP="00EC59BC">
      <w:pPr>
        <w:pStyle w:val="ListParagraph"/>
        <w:numPr>
          <w:ilvl w:val="1"/>
          <w:numId w:val="26"/>
        </w:numPr>
        <w:ind w:left="567" w:hanging="567"/>
        <w:jc w:val="both"/>
        <w:rPr>
          <w:rStyle w:val="Strong"/>
          <w:rFonts w:ascii="Bookman Old Style" w:hAnsi="Bookman Old Style"/>
          <w:b w:val="0"/>
          <w:bCs w:val="0"/>
          <w:sz w:val="24"/>
          <w:szCs w:val="24"/>
        </w:rPr>
      </w:pPr>
      <w:r>
        <w:rPr>
          <w:rStyle w:val="Strong"/>
          <w:rFonts w:ascii="Bookman Old Style" w:hAnsi="Bookman Old Style"/>
          <w:b w:val="0"/>
          <w:sz w:val="24"/>
        </w:rPr>
        <w:t>Sustentabilidade financeira</w:t>
      </w:r>
    </w:p>
    <w:p w14:paraId="6BBBB062" w14:textId="5405D799" w:rsidR="007F6BD4" w:rsidRDefault="007F6BD4" w:rsidP="00EC59BC">
      <w:pPr>
        <w:ind w:left="567"/>
        <w:jc w:val="both"/>
        <w:rPr>
          <w:rFonts w:ascii="Bookman Old Style" w:hAnsi="Bookman Old Style"/>
          <w:sz w:val="24"/>
        </w:rPr>
      </w:pPr>
      <w:r>
        <w:rPr>
          <w:rStyle w:val="Strong"/>
          <w:rFonts w:ascii="Bookman Old Style" w:hAnsi="Bookman Old Style"/>
          <w:b w:val="0"/>
          <w:sz w:val="24"/>
        </w:rPr>
        <w:t xml:space="preserve">O Fórum precisa de ter a combinação certa </w:t>
      </w:r>
      <w:r>
        <w:rPr>
          <w:rFonts w:ascii="Bookman Old Style" w:hAnsi="Bookman Old Style"/>
          <w:sz w:val="24"/>
        </w:rPr>
        <w:t>da estratégia de gestão de receitas e despesas que vai permitir que a organização continue a sua missão e tente alcançar os seus objectivos operacionais nos próximos anos. Isto só se pode conseguir quando o Fórum tiver uma base estável de contribuições anuais ajustadas periódica e atempadamente para a inflação e outros factores económicos, e uma carteira bem diversificada e sustentável de financiamento concedido por doadores. O desafio consiste no compromisso da instituição de aumentar a receita interna (as contribuições pagas pelos membros) e externa (o financiamento concedido por doadores) e ao mesmo tempo gerir as suas despesas operacionais. Além disso, a falta de perícia adequada no Departamento dos Assuntos Parlamentares &amp; Programas agrava a falta de capacidade de se aumentar o financiamento externo.</w:t>
      </w:r>
    </w:p>
    <w:p w14:paraId="474317E7" w14:textId="77777777" w:rsidR="00EC59BC" w:rsidRPr="00153A43" w:rsidRDefault="00EC59BC" w:rsidP="00EC59BC">
      <w:pPr>
        <w:ind w:left="567"/>
        <w:jc w:val="both"/>
        <w:rPr>
          <w:rStyle w:val="Strong"/>
          <w:rFonts w:ascii="Bookman Old Style" w:hAnsi="Bookman Old Style"/>
          <w:b w:val="0"/>
          <w:bCs w:val="0"/>
          <w:sz w:val="24"/>
          <w:szCs w:val="24"/>
        </w:rPr>
      </w:pPr>
    </w:p>
    <w:p w14:paraId="266D4123" w14:textId="4625C1FD" w:rsidR="007F6BD4" w:rsidRPr="00153A43" w:rsidRDefault="00EF3AF5" w:rsidP="00EC59BC">
      <w:pPr>
        <w:pStyle w:val="ListParagraph"/>
        <w:numPr>
          <w:ilvl w:val="1"/>
          <w:numId w:val="26"/>
        </w:numPr>
        <w:ind w:left="567" w:hanging="567"/>
        <w:jc w:val="both"/>
        <w:rPr>
          <w:rStyle w:val="Strong"/>
          <w:rFonts w:ascii="Bookman Old Style" w:hAnsi="Bookman Old Style"/>
          <w:b w:val="0"/>
          <w:bCs w:val="0"/>
          <w:sz w:val="24"/>
          <w:szCs w:val="24"/>
        </w:rPr>
      </w:pPr>
      <w:r>
        <w:rPr>
          <w:rStyle w:val="Strong"/>
          <w:rFonts w:ascii="Bookman Old Style" w:hAnsi="Bookman Old Style"/>
          <w:b w:val="0"/>
          <w:sz w:val="24"/>
        </w:rPr>
        <w:t xml:space="preserve">Para demonstrar </w:t>
      </w:r>
      <w:r w:rsidR="008C4113">
        <w:rPr>
          <w:rStyle w:val="Strong"/>
          <w:rFonts w:ascii="Bookman Old Style" w:hAnsi="Bookman Old Style"/>
          <w:b w:val="0"/>
          <w:sz w:val="24"/>
        </w:rPr>
        <w:t xml:space="preserve">até que ponto </w:t>
      </w:r>
      <w:r>
        <w:rPr>
          <w:rStyle w:val="Strong"/>
          <w:rFonts w:ascii="Bookman Old Style" w:hAnsi="Bookman Old Style"/>
          <w:b w:val="0"/>
          <w:sz w:val="24"/>
        </w:rPr>
        <w:t xml:space="preserve">o Fórum </w:t>
      </w:r>
      <w:r w:rsidR="008C4113">
        <w:rPr>
          <w:rStyle w:val="Strong"/>
          <w:rFonts w:ascii="Bookman Old Style" w:hAnsi="Bookman Old Style"/>
          <w:b w:val="0"/>
          <w:sz w:val="24"/>
        </w:rPr>
        <w:t xml:space="preserve">é dependente </w:t>
      </w:r>
      <w:r>
        <w:rPr>
          <w:rStyle w:val="Strong"/>
          <w:rFonts w:ascii="Bookman Old Style" w:hAnsi="Bookman Old Style"/>
          <w:b w:val="0"/>
          <w:sz w:val="24"/>
        </w:rPr>
        <w:t>do financiamento externo, a tabela a seguir apresenta uma visão geral das contribuições provenientes das fontes de receitas do Fórum para as despesas do Fórum, segundo o orçamento aprovado para o exercício financeiro findo em 31 de Março de 2023.</w:t>
      </w:r>
    </w:p>
    <w:p w14:paraId="2D0F13DF" w14:textId="77777777" w:rsidR="009944B2" w:rsidRDefault="009944B2" w:rsidP="007F6BD4">
      <w:pPr>
        <w:jc w:val="both"/>
        <w:rPr>
          <w:rStyle w:val="Strong"/>
          <w:rFonts w:ascii="Bookman Old Style" w:hAnsi="Bookman Old Style"/>
          <w:b w:val="0"/>
          <w:bCs w:val="0"/>
          <w:sz w:val="24"/>
          <w:szCs w:val="24"/>
        </w:rPr>
      </w:pPr>
    </w:p>
    <w:p w14:paraId="2C584709" w14:textId="77777777" w:rsidR="00EC59BC" w:rsidRDefault="00EC59BC" w:rsidP="007F6BD4">
      <w:pPr>
        <w:jc w:val="both"/>
        <w:rPr>
          <w:rStyle w:val="Strong"/>
        </w:rPr>
      </w:pPr>
    </w:p>
    <w:p w14:paraId="01FF046B" w14:textId="77777777" w:rsidR="00EC59BC" w:rsidRDefault="00EC59BC" w:rsidP="007F6BD4">
      <w:pPr>
        <w:jc w:val="both"/>
        <w:rPr>
          <w:rStyle w:val="Strong"/>
        </w:rPr>
      </w:pPr>
    </w:p>
    <w:p w14:paraId="089E3AAB" w14:textId="77777777" w:rsidR="00EC59BC" w:rsidRDefault="00EC59BC" w:rsidP="007F6BD4">
      <w:pPr>
        <w:jc w:val="both"/>
        <w:rPr>
          <w:rStyle w:val="Strong"/>
          <w:rFonts w:ascii="Bookman Old Style" w:hAnsi="Bookman Old Style"/>
          <w:b w:val="0"/>
          <w:bCs w:val="0"/>
          <w:sz w:val="24"/>
          <w:szCs w:val="24"/>
        </w:rPr>
      </w:pPr>
    </w:p>
    <w:tbl>
      <w:tblPr>
        <w:tblW w:w="8526" w:type="dxa"/>
        <w:tblLook w:val="04A0" w:firstRow="1" w:lastRow="0" w:firstColumn="1" w:lastColumn="0" w:noHBand="0" w:noVBand="1"/>
      </w:tblPr>
      <w:tblGrid>
        <w:gridCol w:w="3980"/>
        <w:gridCol w:w="1291"/>
        <w:gridCol w:w="1615"/>
        <w:gridCol w:w="1720"/>
      </w:tblGrid>
      <w:tr w:rsidR="007F6BD4" w:rsidRPr="00D035F1" w14:paraId="14C36CBC" w14:textId="77777777" w:rsidTr="008C4113">
        <w:trPr>
          <w:trHeight w:val="288"/>
        </w:trPr>
        <w:tc>
          <w:tcPr>
            <w:tcW w:w="3980" w:type="dxa"/>
            <w:tcBorders>
              <w:top w:val="single" w:sz="8" w:space="0" w:color="auto"/>
              <w:left w:val="single" w:sz="8" w:space="0" w:color="auto"/>
              <w:bottom w:val="nil"/>
              <w:right w:val="single" w:sz="8" w:space="0" w:color="auto"/>
            </w:tcBorders>
            <w:shd w:val="clear" w:color="auto" w:fill="auto"/>
            <w:noWrap/>
            <w:vAlign w:val="bottom"/>
            <w:hideMark/>
          </w:tcPr>
          <w:p w14:paraId="6F722F26" w14:textId="1AB9255B" w:rsidR="007F6BD4" w:rsidRPr="00D035F1" w:rsidRDefault="008C4113" w:rsidP="00A2337F">
            <w:pPr>
              <w:spacing w:after="0" w:line="240" w:lineRule="auto"/>
              <w:rPr>
                <w:rFonts w:ascii="Arial Narrow" w:eastAsia="Times New Roman" w:hAnsi="Arial Narrow" w:cs="Calibri"/>
                <w:b/>
                <w:bCs/>
                <w:sz w:val="20"/>
                <w:szCs w:val="20"/>
              </w:rPr>
            </w:pPr>
            <w:r>
              <w:rPr>
                <w:rFonts w:ascii="Arial Narrow" w:hAnsi="Arial Narrow"/>
                <w:b/>
                <w:sz w:val="20"/>
              </w:rPr>
              <w:lastRenderedPageBreak/>
              <w:t xml:space="preserve">CATEGORIA DE </w:t>
            </w:r>
            <w:r w:rsidR="007F6BD4">
              <w:rPr>
                <w:rFonts w:ascii="Arial Narrow" w:hAnsi="Arial Narrow"/>
                <w:b/>
                <w:sz w:val="20"/>
              </w:rPr>
              <w:t xml:space="preserve">DESPESAS/RECEITAS </w:t>
            </w:r>
          </w:p>
        </w:tc>
        <w:tc>
          <w:tcPr>
            <w:tcW w:w="1291" w:type="dxa"/>
            <w:tcBorders>
              <w:top w:val="single" w:sz="8" w:space="0" w:color="auto"/>
              <w:left w:val="single" w:sz="8" w:space="0" w:color="auto"/>
              <w:bottom w:val="nil"/>
              <w:right w:val="single" w:sz="8" w:space="0" w:color="auto"/>
            </w:tcBorders>
            <w:shd w:val="clear" w:color="auto" w:fill="auto"/>
            <w:noWrap/>
            <w:vAlign w:val="bottom"/>
            <w:hideMark/>
          </w:tcPr>
          <w:p w14:paraId="0A87C217" w14:textId="3A4CAE08" w:rsidR="007F6BD4" w:rsidRPr="00D035F1" w:rsidRDefault="007F6BD4" w:rsidP="00A2337F">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w:t>
            </w:r>
            <w:r w:rsidR="008C4113">
              <w:rPr>
                <w:rFonts w:ascii="Arial Narrow" w:hAnsi="Arial Narrow"/>
                <w:b/>
                <w:sz w:val="20"/>
              </w:rPr>
              <w:t xml:space="preserve">ORÇAMENTO </w:t>
            </w:r>
            <w:r>
              <w:rPr>
                <w:rFonts w:ascii="Arial Narrow" w:hAnsi="Arial Narrow"/>
                <w:b/>
                <w:sz w:val="20"/>
              </w:rPr>
              <w:t xml:space="preserve">APROVADO </w:t>
            </w:r>
          </w:p>
        </w:tc>
        <w:tc>
          <w:tcPr>
            <w:tcW w:w="1615" w:type="dxa"/>
            <w:tcBorders>
              <w:top w:val="single" w:sz="8" w:space="0" w:color="auto"/>
              <w:left w:val="single" w:sz="8" w:space="0" w:color="auto"/>
              <w:bottom w:val="nil"/>
              <w:right w:val="single" w:sz="8" w:space="0" w:color="auto"/>
            </w:tcBorders>
            <w:shd w:val="clear" w:color="auto" w:fill="auto"/>
            <w:noWrap/>
            <w:vAlign w:val="bottom"/>
            <w:hideMark/>
          </w:tcPr>
          <w:p w14:paraId="152D9472" w14:textId="77777777" w:rsidR="007F6BD4" w:rsidRPr="00D035F1" w:rsidRDefault="007F6BD4" w:rsidP="008C4113">
            <w:pPr>
              <w:spacing w:after="0" w:line="240" w:lineRule="auto"/>
              <w:rPr>
                <w:rFonts w:ascii="Calibri" w:eastAsia="Times New Roman" w:hAnsi="Calibri" w:cs="Calibri"/>
                <w:b/>
                <w:bCs/>
                <w:color w:val="000000"/>
              </w:rPr>
            </w:pPr>
            <w:r>
              <w:rPr>
                <w:rFonts w:ascii="Calibri" w:hAnsi="Calibri"/>
                <w:b/>
                <w:color w:val="000000"/>
              </w:rPr>
              <w:t>PERCENTAGEM</w:t>
            </w:r>
          </w:p>
        </w:tc>
        <w:tc>
          <w:tcPr>
            <w:tcW w:w="1640" w:type="dxa"/>
            <w:tcBorders>
              <w:top w:val="single" w:sz="8" w:space="0" w:color="auto"/>
              <w:left w:val="nil"/>
              <w:bottom w:val="nil"/>
              <w:right w:val="single" w:sz="8" w:space="0" w:color="auto"/>
            </w:tcBorders>
            <w:shd w:val="clear" w:color="auto" w:fill="auto"/>
            <w:noWrap/>
            <w:vAlign w:val="bottom"/>
            <w:hideMark/>
          </w:tcPr>
          <w:p w14:paraId="10A493B6" w14:textId="567EEEF1" w:rsidR="007F6BD4" w:rsidRPr="00D035F1" w:rsidRDefault="007F6BD4" w:rsidP="00A2337F">
            <w:pPr>
              <w:spacing w:after="0" w:line="240" w:lineRule="auto"/>
              <w:jc w:val="center"/>
              <w:rPr>
                <w:rFonts w:ascii="Calibri" w:eastAsia="Times New Roman" w:hAnsi="Calibri" w:cs="Calibri"/>
                <w:b/>
                <w:bCs/>
                <w:color w:val="000000"/>
              </w:rPr>
            </w:pPr>
            <w:r>
              <w:rPr>
                <w:rFonts w:ascii="Calibri" w:hAnsi="Calibri"/>
                <w:b/>
                <w:color w:val="000000"/>
              </w:rPr>
              <w:t>PERCENTAGEM</w:t>
            </w:r>
            <w:r w:rsidR="008C4113">
              <w:rPr>
                <w:rFonts w:ascii="Calibri" w:hAnsi="Calibri"/>
                <w:b/>
                <w:color w:val="000000"/>
              </w:rPr>
              <w:t xml:space="preserve"> DAS</w:t>
            </w:r>
          </w:p>
        </w:tc>
      </w:tr>
      <w:tr w:rsidR="008C4113" w:rsidRPr="00D035F1" w14:paraId="21325892" w14:textId="77777777" w:rsidTr="008C4113">
        <w:trPr>
          <w:trHeight w:val="288"/>
        </w:trPr>
        <w:tc>
          <w:tcPr>
            <w:tcW w:w="3980" w:type="dxa"/>
            <w:tcBorders>
              <w:top w:val="nil"/>
              <w:left w:val="single" w:sz="8" w:space="0" w:color="auto"/>
              <w:bottom w:val="nil"/>
              <w:right w:val="single" w:sz="8" w:space="0" w:color="auto"/>
            </w:tcBorders>
            <w:shd w:val="clear" w:color="auto" w:fill="auto"/>
            <w:noWrap/>
            <w:vAlign w:val="bottom"/>
            <w:hideMark/>
          </w:tcPr>
          <w:p w14:paraId="282F23F1" w14:textId="719B550C"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w:t>
            </w:r>
          </w:p>
        </w:tc>
        <w:tc>
          <w:tcPr>
            <w:tcW w:w="1291" w:type="dxa"/>
            <w:tcBorders>
              <w:top w:val="nil"/>
              <w:left w:val="single" w:sz="8" w:space="0" w:color="auto"/>
              <w:bottom w:val="nil"/>
              <w:right w:val="single" w:sz="8" w:space="0" w:color="auto"/>
            </w:tcBorders>
            <w:shd w:val="clear" w:color="auto" w:fill="auto"/>
            <w:noWrap/>
            <w:vAlign w:val="bottom"/>
            <w:hideMark/>
          </w:tcPr>
          <w:p w14:paraId="33829E82" w14:textId="5E75DFED" w:rsidR="008C4113" w:rsidRPr="00D035F1" w:rsidRDefault="008C4113" w:rsidP="008C4113">
            <w:pPr>
              <w:spacing w:after="0" w:line="240" w:lineRule="auto"/>
              <w:jc w:val="center"/>
              <w:rPr>
                <w:rFonts w:ascii="Arial Narrow" w:eastAsia="Times New Roman" w:hAnsi="Arial Narrow" w:cs="Calibri"/>
                <w:b/>
                <w:bCs/>
                <w:sz w:val="20"/>
                <w:szCs w:val="20"/>
              </w:rPr>
            </w:pPr>
          </w:p>
        </w:tc>
        <w:tc>
          <w:tcPr>
            <w:tcW w:w="1615" w:type="dxa"/>
            <w:tcBorders>
              <w:top w:val="nil"/>
              <w:left w:val="single" w:sz="8" w:space="0" w:color="auto"/>
              <w:bottom w:val="nil"/>
              <w:right w:val="single" w:sz="8" w:space="0" w:color="auto"/>
            </w:tcBorders>
            <w:shd w:val="clear" w:color="auto" w:fill="auto"/>
            <w:noWrap/>
            <w:vAlign w:val="bottom"/>
            <w:hideMark/>
          </w:tcPr>
          <w:p w14:paraId="35079F6B" w14:textId="7D60E93F" w:rsidR="008C4113" w:rsidRPr="00D035F1" w:rsidRDefault="008C4113" w:rsidP="008C4113">
            <w:pPr>
              <w:spacing w:after="0" w:line="240" w:lineRule="auto"/>
              <w:rPr>
                <w:rFonts w:ascii="Calibri" w:eastAsia="Times New Roman" w:hAnsi="Calibri" w:cs="Calibri"/>
                <w:b/>
                <w:bCs/>
                <w:color w:val="000000"/>
              </w:rPr>
            </w:pPr>
            <w:r>
              <w:rPr>
                <w:rFonts w:ascii="Calibri" w:hAnsi="Calibri"/>
                <w:b/>
                <w:color w:val="000000"/>
              </w:rPr>
              <w:t xml:space="preserve">           DO </w:t>
            </w:r>
          </w:p>
        </w:tc>
        <w:tc>
          <w:tcPr>
            <w:tcW w:w="1640" w:type="dxa"/>
            <w:tcBorders>
              <w:top w:val="nil"/>
              <w:left w:val="nil"/>
              <w:bottom w:val="nil"/>
              <w:right w:val="single" w:sz="8" w:space="0" w:color="auto"/>
            </w:tcBorders>
            <w:shd w:val="clear" w:color="auto" w:fill="auto"/>
            <w:noWrap/>
            <w:vAlign w:val="bottom"/>
            <w:hideMark/>
          </w:tcPr>
          <w:p w14:paraId="007B9C93" w14:textId="2B63768E"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CONTRIBUIÇÕES DOS</w:t>
            </w:r>
          </w:p>
        </w:tc>
      </w:tr>
      <w:tr w:rsidR="008C4113" w:rsidRPr="00D035F1" w14:paraId="607AEB1B" w14:textId="77777777" w:rsidTr="008C4113">
        <w:trPr>
          <w:trHeight w:val="288"/>
        </w:trPr>
        <w:tc>
          <w:tcPr>
            <w:tcW w:w="3980" w:type="dxa"/>
            <w:tcBorders>
              <w:top w:val="nil"/>
              <w:left w:val="single" w:sz="8" w:space="0" w:color="auto"/>
              <w:bottom w:val="nil"/>
              <w:right w:val="single" w:sz="8" w:space="0" w:color="auto"/>
            </w:tcBorders>
            <w:shd w:val="clear" w:color="auto" w:fill="auto"/>
            <w:noWrap/>
            <w:vAlign w:val="bottom"/>
            <w:hideMark/>
          </w:tcPr>
          <w:p w14:paraId="237C901D"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291" w:type="dxa"/>
            <w:tcBorders>
              <w:top w:val="nil"/>
              <w:left w:val="single" w:sz="8" w:space="0" w:color="auto"/>
              <w:bottom w:val="nil"/>
              <w:right w:val="single" w:sz="8" w:space="0" w:color="auto"/>
            </w:tcBorders>
            <w:shd w:val="clear" w:color="auto" w:fill="auto"/>
            <w:noWrap/>
            <w:vAlign w:val="bottom"/>
            <w:hideMark/>
          </w:tcPr>
          <w:p w14:paraId="7CB17AEA" w14:textId="77777777" w:rsidR="008C4113" w:rsidRPr="00D035F1" w:rsidRDefault="008C4113" w:rsidP="008C4113">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615" w:type="dxa"/>
            <w:tcBorders>
              <w:top w:val="nil"/>
              <w:left w:val="single" w:sz="8" w:space="0" w:color="auto"/>
              <w:bottom w:val="nil"/>
              <w:right w:val="single" w:sz="8" w:space="0" w:color="auto"/>
            </w:tcBorders>
            <w:shd w:val="clear" w:color="auto" w:fill="auto"/>
            <w:noWrap/>
            <w:vAlign w:val="bottom"/>
            <w:hideMark/>
          </w:tcPr>
          <w:p w14:paraId="3FC56B6A" w14:textId="1F0F283F"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ORÇAMENTO TOTAL</w:t>
            </w:r>
          </w:p>
        </w:tc>
        <w:tc>
          <w:tcPr>
            <w:tcW w:w="1640" w:type="dxa"/>
            <w:tcBorders>
              <w:top w:val="nil"/>
              <w:left w:val="nil"/>
              <w:bottom w:val="nil"/>
              <w:right w:val="single" w:sz="8" w:space="0" w:color="auto"/>
            </w:tcBorders>
            <w:shd w:val="clear" w:color="auto" w:fill="auto"/>
            <w:noWrap/>
            <w:vAlign w:val="bottom"/>
            <w:hideMark/>
          </w:tcPr>
          <w:p w14:paraId="13B6A23E" w14:textId="21C7FEC1"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MEMBROS</w:t>
            </w:r>
          </w:p>
        </w:tc>
      </w:tr>
      <w:tr w:rsidR="008C4113" w:rsidRPr="00D035F1" w14:paraId="53929226" w14:textId="77777777" w:rsidTr="008C4113">
        <w:trPr>
          <w:trHeight w:val="288"/>
        </w:trPr>
        <w:tc>
          <w:tcPr>
            <w:tcW w:w="3980" w:type="dxa"/>
            <w:tcBorders>
              <w:top w:val="nil"/>
              <w:left w:val="single" w:sz="8" w:space="0" w:color="auto"/>
              <w:bottom w:val="nil"/>
              <w:right w:val="single" w:sz="8" w:space="0" w:color="auto"/>
            </w:tcBorders>
            <w:shd w:val="clear" w:color="auto" w:fill="auto"/>
            <w:noWrap/>
            <w:vAlign w:val="bottom"/>
            <w:hideMark/>
          </w:tcPr>
          <w:p w14:paraId="669A48B1"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291" w:type="dxa"/>
            <w:tcBorders>
              <w:top w:val="nil"/>
              <w:left w:val="single" w:sz="8" w:space="0" w:color="auto"/>
              <w:bottom w:val="nil"/>
              <w:right w:val="single" w:sz="8" w:space="0" w:color="auto"/>
            </w:tcBorders>
            <w:shd w:val="clear" w:color="auto" w:fill="auto"/>
            <w:noWrap/>
            <w:vAlign w:val="bottom"/>
            <w:hideMark/>
          </w:tcPr>
          <w:p w14:paraId="47E39EFE" w14:textId="77777777" w:rsidR="008C4113" w:rsidRPr="00D035F1" w:rsidRDefault="008C4113" w:rsidP="008C4113">
            <w:pPr>
              <w:spacing w:after="0" w:line="240" w:lineRule="auto"/>
              <w:jc w:val="center"/>
              <w:rPr>
                <w:rFonts w:ascii="Arial Narrow" w:eastAsia="Times New Roman" w:hAnsi="Arial Narrow" w:cs="Calibri"/>
                <w:b/>
                <w:bCs/>
                <w:sz w:val="20"/>
                <w:szCs w:val="20"/>
              </w:rPr>
            </w:pPr>
            <w:r>
              <w:rPr>
                <w:rFonts w:ascii="Arial Narrow" w:hAnsi="Arial Narrow"/>
                <w:b/>
                <w:sz w:val="20"/>
              </w:rPr>
              <w:t>2022-2023</w:t>
            </w:r>
          </w:p>
        </w:tc>
        <w:tc>
          <w:tcPr>
            <w:tcW w:w="1615" w:type="dxa"/>
            <w:tcBorders>
              <w:top w:val="nil"/>
              <w:left w:val="single" w:sz="8" w:space="0" w:color="auto"/>
              <w:bottom w:val="nil"/>
              <w:right w:val="single" w:sz="8" w:space="0" w:color="auto"/>
            </w:tcBorders>
            <w:shd w:val="clear" w:color="auto" w:fill="auto"/>
            <w:noWrap/>
            <w:vAlign w:val="bottom"/>
            <w:hideMark/>
          </w:tcPr>
          <w:p w14:paraId="0257574F"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 </w:t>
            </w:r>
          </w:p>
        </w:tc>
        <w:tc>
          <w:tcPr>
            <w:tcW w:w="1640" w:type="dxa"/>
            <w:tcBorders>
              <w:top w:val="nil"/>
              <w:left w:val="nil"/>
              <w:bottom w:val="nil"/>
              <w:right w:val="single" w:sz="8" w:space="0" w:color="auto"/>
            </w:tcBorders>
            <w:shd w:val="clear" w:color="auto" w:fill="auto"/>
            <w:noWrap/>
            <w:vAlign w:val="bottom"/>
          </w:tcPr>
          <w:p w14:paraId="6BBD2DCA" w14:textId="3359AD45" w:rsidR="008C4113" w:rsidRPr="00D035F1" w:rsidRDefault="008C4113" w:rsidP="008C4113">
            <w:pPr>
              <w:spacing w:after="0" w:line="240" w:lineRule="auto"/>
              <w:jc w:val="center"/>
              <w:rPr>
                <w:rFonts w:ascii="Calibri" w:eastAsia="Times New Roman" w:hAnsi="Calibri" w:cs="Calibri"/>
                <w:b/>
                <w:bCs/>
                <w:color w:val="000000"/>
              </w:rPr>
            </w:pPr>
          </w:p>
        </w:tc>
      </w:tr>
      <w:tr w:rsidR="008C4113" w:rsidRPr="00D035F1" w14:paraId="4918B18E" w14:textId="77777777" w:rsidTr="008C4113">
        <w:trPr>
          <w:trHeight w:val="288"/>
        </w:trPr>
        <w:tc>
          <w:tcPr>
            <w:tcW w:w="3980" w:type="dxa"/>
            <w:tcBorders>
              <w:top w:val="nil"/>
              <w:left w:val="single" w:sz="8" w:space="0" w:color="auto"/>
              <w:bottom w:val="single" w:sz="8" w:space="0" w:color="auto"/>
              <w:right w:val="single" w:sz="8" w:space="0" w:color="auto"/>
            </w:tcBorders>
            <w:shd w:val="clear" w:color="auto" w:fill="auto"/>
            <w:noWrap/>
            <w:vAlign w:val="bottom"/>
            <w:hideMark/>
          </w:tcPr>
          <w:p w14:paraId="38FD9EA3"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291" w:type="dxa"/>
            <w:tcBorders>
              <w:top w:val="nil"/>
              <w:left w:val="single" w:sz="8" w:space="0" w:color="auto"/>
              <w:bottom w:val="single" w:sz="8" w:space="0" w:color="auto"/>
              <w:right w:val="single" w:sz="8" w:space="0" w:color="auto"/>
            </w:tcBorders>
            <w:shd w:val="clear" w:color="auto" w:fill="auto"/>
            <w:noWrap/>
            <w:vAlign w:val="bottom"/>
            <w:hideMark/>
          </w:tcPr>
          <w:p w14:paraId="74BB9D17" w14:textId="77777777" w:rsidR="008C4113" w:rsidRPr="00D035F1" w:rsidRDefault="008C4113" w:rsidP="008C4113">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615" w:type="dxa"/>
            <w:tcBorders>
              <w:top w:val="nil"/>
              <w:left w:val="single" w:sz="8" w:space="0" w:color="auto"/>
              <w:bottom w:val="single" w:sz="8" w:space="0" w:color="auto"/>
              <w:right w:val="single" w:sz="8" w:space="0" w:color="auto"/>
            </w:tcBorders>
            <w:shd w:val="clear" w:color="auto" w:fill="auto"/>
            <w:noWrap/>
            <w:vAlign w:val="bottom"/>
            <w:hideMark/>
          </w:tcPr>
          <w:p w14:paraId="5C867F4E" w14:textId="77777777" w:rsidR="008C4113" w:rsidRPr="00D035F1" w:rsidRDefault="008C4113" w:rsidP="008C4113">
            <w:pPr>
              <w:spacing w:after="0" w:line="240" w:lineRule="auto"/>
              <w:jc w:val="center"/>
              <w:rPr>
                <w:rFonts w:ascii="Calibri" w:eastAsia="Times New Roman" w:hAnsi="Calibri" w:cs="Calibri"/>
                <w:color w:val="000000"/>
              </w:rPr>
            </w:pPr>
            <w:r>
              <w:rPr>
                <w:rFonts w:ascii="Calibri" w:hAnsi="Calibri"/>
                <w:color w:val="000000"/>
              </w:rPr>
              <w:t>%</w:t>
            </w:r>
          </w:p>
        </w:tc>
        <w:tc>
          <w:tcPr>
            <w:tcW w:w="1640" w:type="dxa"/>
            <w:tcBorders>
              <w:top w:val="nil"/>
              <w:left w:val="nil"/>
              <w:bottom w:val="single" w:sz="8" w:space="0" w:color="auto"/>
              <w:right w:val="single" w:sz="8" w:space="0" w:color="auto"/>
            </w:tcBorders>
            <w:shd w:val="clear" w:color="auto" w:fill="auto"/>
            <w:noWrap/>
            <w:vAlign w:val="bottom"/>
            <w:hideMark/>
          </w:tcPr>
          <w:p w14:paraId="2ECEA83B" w14:textId="77777777" w:rsidR="008C4113" w:rsidRPr="00D035F1" w:rsidRDefault="008C4113" w:rsidP="008C4113">
            <w:pPr>
              <w:spacing w:after="0" w:line="240" w:lineRule="auto"/>
              <w:rPr>
                <w:rFonts w:ascii="Calibri" w:eastAsia="Times New Roman" w:hAnsi="Calibri" w:cs="Calibri"/>
                <w:color w:val="000000"/>
              </w:rPr>
            </w:pPr>
            <w:r>
              <w:rPr>
                <w:rFonts w:ascii="Calibri" w:hAnsi="Calibri"/>
                <w:color w:val="000000"/>
              </w:rPr>
              <w:t> </w:t>
            </w:r>
          </w:p>
        </w:tc>
      </w:tr>
      <w:tr w:rsidR="008C4113" w:rsidRPr="00D035F1" w14:paraId="43BDF772" w14:textId="77777777" w:rsidTr="008C4113">
        <w:trPr>
          <w:trHeight w:val="288"/>
        </w:trPr>
        <w:tc>
          <w:tcPr>
            <w:tcW w:w="3980" w:type="dxa"/>
            <w:tcBorders>
              <w:top w:val="nil"/>
              <w:left w:val="single" w:sz="8" w:space="0" w:color="auto"/>
              <w:bottom w:val="dashed" w:sz="4" w:space="0" w:color="auto"/>
              <w:right w:val="single" w:sz="8" w:space="0" w:color="auto"/>
            </w:tcBorders>
            <w:shd w:val="clear" w:color="auto" w:fill="auto"/>
            <w:noWrap/>
            <w:vAlign w:val="bottom"/>
            <w:hideMark/>
          </w:tcPr>
          <w:p w14:paraId="5360716C"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RECEITAS </w:t>
            </w:r>
          </w:p>
        </w:tc>
        <w:tc>
          <w:tcPr>
            <w:tcW w:w="1291" w:type="dxa"/>
            <w:tcBorders>
              <w:top w:val="nil"/>
              <w:left w:val="single" w:sz="8" w:space="0" w:color="auto"/>
              <w:bottom w:val="dotted" w:sz="4" w:space="0" w:color="auto"/>
              <w:right w:val="single" w:sz="8" w:space="0" w:color="auto"/>
            </w:tcBorders>
            <w:shd w:val="clear" w:color="auto" w:fill="auto"/>
            <w:noWrap/>
            <w:vAlign w:val="bottom"/>
            <w:hideMark/>
          </w:tcPr>
          <w:p w14:paraId="35EC1819" w14:textId="77777777" w:rsidR="008C4113" w:rsidRPr="00D035F1" w:rsidRDefault="008C4113" w:rsidP="008C4113">
            <w:pPr>
              <w:spacing w:after="0" w:line="240" w:lineRule="auto"/>
              <w:rPr>
                <w:rFonts w:ascii="Calibri" w:eastAsia="Times New Roman" w:hAnsi="Calibri" w:cs="Calibri"/>
              </w:rPr>
            </w:pPr>
            <w:r>
              <w:rPr>
                <w:rFonts w:ascii="Calibri" w:hAnsi="Calibri"/>
              </w:rPr>
              <w:t> </w:t>
            </w:r>
          </w:p>
        </w:tc>
        <w:tc>
          <w:tcPr>
            <w:tcW w:w="1615" w:type="dxa"/>
            <w:tcBorders>
              <w:top w:val="single" w:sz="8" w:space="0" w:color="auto"/>
              <w:left w:val="single" w:sz="8" w:space="0" w:color="auto"/>
              <w:bottom w:val="single" w:sz="4" w:space="0" w:color="auto"/>
              <w:right w:val="nil"/>
            </w:tcBorders>
            <w:shd w:val="clear" w:color="auto" w:fill="auto"/>
            <w:noWrap/>
            <w:vAlign w:val="bottom"/>
            <w:hideMark/>
          </w:tcPr>
          <w:p w14:paraId="3D654515"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 </w:t>
            </w:r>
          </w:p>
        </w:tc>
        <w:tc>
          <w:tcPr>
            <w:tcW w:w="16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11813D6" w14:textId="77777777" w:rsidR="008C4113" w:rsidRPr="00D035F1" w:rsidRDefault="008C4113" w:rsidP="008C4113">
            <w:pPr>
              <w:spacing w:after="0" w:line="240" w:lineRule="auto"/>
              <w:rPr>
                <w:rFonts w:ascii="Calibri" w:eastAsia="Times New Roman" w:hAnsi="Calibri" w:cs="Calibri"/>
                <w:color w:val="000000"/>
              </w:rPr>
            </w:pPr>
            <w:r>
              <w:rPr>
                <w:rFonts w:ascii="Calibri" w:hAnsi="Calibri"/>
                <w:color w:val="000000"/>
              </w:rPr>
              <w:t> </w:t>
            </w:r>
          </w:p>
        </w:tc>
      </w:tr>
      <w:tr w:rsidR="008C4113" w:rsidRPr="00D035F1" w14:paraId="1C2CC249" w14:textId="77777777" w:rsidTr="008C4113">
        <w:trPr>
          <w:trHeight w:val="288"/>
        </w:trPr>
        <w:tc>
          <w:tcPr>
            <w:tcW w:w="3980" w:type="dxa"/>
            <w:tcBorders>
              <w:top w:val="nil"/>
              <w:left w:val="single" w:sz="8" w:space="0" w:color="auto"/>
              <w:bottom w:val="dashed" w:sz="4" w:space="0" w:color="auto"/>
              <w:right w:val="single" w:sz="8" w:space="0" w:color="auto"/>
            </w:tcBorders>
            <w:shd w:val="clear" w:color="auto" w:fill="auto"/>
            <w:noWrap/>
            <w:vAlign w:val="bottom"/>
            <w:hideMark/>
          </w:tcPr>
          <w:p w14:paraId="69CAB03F"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Quotas anuais obrigatórias </w:t>
            </w:r>
          </w:p>
        </w:tc>
        <w:tc>
          <w:tcPr>
            <w:tcW w:w="1291" w:type="dxa"/>
            <w:tcBorders>
              <w:top w:val="nil"/>
              <w:left w:val="single" w:sz="8" w:space="0" w:color="auto"/>
              <w:bottom w:val="dotted" w:sz="4" w:space="0" w:color="auto"/>
              <w:right w:val="single" w:sz="8" w:space="0" w:color="auto"/>
            </w:tcBorders>
            <w:shd w:val="clear" w:color="auto" w:fill="auto"/>
            <w:noWrap/>
            <w:vAlign w:val="bottom"/>
            <w:hideMark/>
          </w:tcPr>
          <w:p w14:paraId="1FD846F1" w14:textId="77777777" w:rsidR="008C4113" w:rsidRPr="00D035F1" w:rsidRDefault="008C4113" w:rsidP="008C4113">
            <w:pPr>
              <w:spacing w:after="0" w:line="240" w:lineRule="auto"/>
              <w:rPr>
                <w:rFonts w:ascii="Calibri" w:eastAsia="Times New Roman" w:hAnsi="Calibri" w:cs="Calibri"/>
                <w:b/>
                <w:bCs/>
                <w:sz w:val="20"/>
                <w:szCs w:val="20"/>
              </w:rPr>
            </w:pPr>
            <w:r>
              <w:rPr>
                <w:rFonts w:ascii="Calibri" w:hAnsi="Calibri"/>
                <w:b/>
                <w:sz w:val="20"/>
              </w:rPr>
              <w:t xml:space="preserve">  21.148.050 </w:t>
            </w:r>
          </w:p>
        </w:tc>
        <w:tc>
          <w:tcPr>
            <w:tcW w:w="1615" w:type="dxa"/>
            <w:tcBorders>
              <w:top w:val="nil"/>
              <w:left w:val="single" w:sz="8" w:space="0" w:color="auto"/>
              <w:bottom w:val="single" w:sz="4" w:space="0" w:color="auto"/>
              <w:right w:val="nil"/>
            </w:tcBorders>
            <w:shd w:val="clear" w:color="auto" w:fill="auto"/>
            <w:noWrap/>
            <w:vAlign w:val="bottom"/>
            <w:hideMark/>
          </w:tcPr>
          <w:p w14:paraId="47264E29"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41%</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23916718" w14:textId="77777777" w:rsidR="008C4113" w:rsidRPr="00D035F1" w:rsidRDefault="008C4113" w:rsidP="008C4113">
            <w:pPr>
              <w:spacing w:after="0" w:line="240" w:lineRule="auto"/>
              <w:rPr>
                <w:rFonts w:ascii="Calibri" w:eastAsia="Times New Roman" w:hAnsi="Calibri" w:cs="Calibri"/>
                <w:color w:val="000000"/>
              </w:rPr>
            </w:pPr>
            <w:r>
              <w:rPr>
                <w:rFonts w:ascii="Calibri" w:hAnsi="Calibri"/>
                <w:color w:val="000000"/>
              </w:rPr>
              <w:t> </w:t>
            </w:r>
          </w:p>
        </w:tc>
      </w:tr>
      <w:tr w:rsidR="008C4113" w:rsidRPr="00D035F1" w14:paraId="48AB5E56" w14:textId="77777777" w:rsidTr="008C4113">
        <w:trPr>
          <w:trHeight w:val="288"/>
        </w:trPr>
        <w:tc>
          <w:tcPr>
            <w:tcW w:w="3980" w:type="dxa"/>
            <w:tcBorders>
              <w:top w:val="nil"/>
              <w:left w:val="single" w:sz="8" w:space="0" w:color="auto"/>
              <w:bottom w:val="dashed" w:sz="4" w:space="0" w:color="auto"/>
              <w:right w:val="single" w:sz="8" w:space="0" w:color="auto"/>
            </w:tcBorders>
            <w:shd w:val="clear" w:color="auto" w:fill="auto"/>
            <w:noWrap/>
            <w:vAlign w:val="bottom"/>
            <w:hideMark/>
          </w:tcPr>
          <w:p w14:paraId="7C2637B1"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Juros a receber </w:t>
            </w:r>
          </w:p>
        </w:tc>
        <w:tc>
          <w:tcPr>
            <w:tcW w:w="1291" w:type="dxa"/>
            <w:tcBorders>
              <w:top w:val="nil"/>
              <w:left w:val="single" w:sz="8" w:space="0" w:color="auto"/>
              <w:bottom w:val="dotted" w:sz="4" w:space="0" w:color="auto"/>
              <w:right w:val="single" w:sz="8" w:space="0" w:color="auto"/>
            </w:tcBorders>
            <w:shd w:val="clear" w:color="auto" w:fill="auto"/>
            <w:noWrap/>
            <w:vAlign w:val="bottom"/>
            <w:hideMark/>
          </w:tcPr>
          <w:p w14:paraId="613384F3" w14:textId="77777777" w:rsidR="008C4113" w:rsidRPr="00D035F1" w:rsidRDefault="008C4113" w:rsidP="008C4113">
            <w:pPr>
              <w:spacing w:after="0" w:line="240" w:lineRule="auto"/>
              <w:rPr>
                <w:rFonts w:ascii="Calibri" w:eastAsia="Times New Roman" w:hAnsi="Calibri" w:cs="Calibri"/>
                <w:b/>
                <w:bCs/>
                <w:sz w:val="20"/>
                <w:szCs w:val="20"/>
              </w:rPr>
            </w:pPr>
            <w:r>
              <w:rPr>
                <w:rFonts w:ascii="Calibri" w:hAnsi="Calibri"/>
                <w:b/>
                <w:sz w:val="20"/>
              </w:rPr>
              <w:t xml:space="preserve">       180.000 </w:t>
            </w:r>
          </w:p>
        </w:tc>
        <w:tc>
          <w:tcPr>
            <w:tcW w:w="1615" w:type="dxa"/>
            <w:tcBorders>
              <w:top w:val="nil"/>
              <w:left w:val="single" w:sz="8" w:space="0" w:color="auto"/>
              <w:bottom w:val="single" w:sz="4" w:space="0" w:color="auto"/>
              <w:right w:val="nil"/>
            </w:tcBorders>
            <w:shd w:val="clear" w:color="auto" w:fill="auto"/>
            <w:noWrap/>
            <w:vAlign w:val="bottom"/>
            <w:hideMark/>
          </w:tcPr>
          <w:p w14:paraId="10803DAA"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0%</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22CA5F01"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1%</w:t>
            </w:r>
          </w:p>
        </w:tc>
      </w:tr>
      <w:tr w:rsidR="008C4113" w:rsidRPr="00D035F1" w14:paraId="43975003" w14:textId="77777777" w:rsidTr="008C4113">
        <w:trPr>
          <w:trHeight w:val="288"/>
        </w:trPr>
        <w:tc>
          <w:tcPr>
            <w:tcW w:w="3980" w:type="dxa"/>
            <w:tcBorders>
              <w:top w:val="nil"/>
              <w:left w:val="single" w:sz="8" w:space="0" w:color="auto"/>
              <w:bottom w:val="dashed" w:sz="4" w:space="0" w:color="auto"/>
              <w:right w:val="single" w:sz="8" w:space="0" w:color="auto"/>
            </w:tcBorders>
            <w:shd w:val="clear" w:color="auto" w:fill="auto"/>
            <w:noWrap/>
            <w:vAlign w:val="bottom"/>
            <w:hideMark/>
          </w:tcPr>
          <w:p w14:paraId="714EF330"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Outras receitas </w:t>
            </w:r>
          </w:p>
        </w:tc>
        <w:tc>
          <w:tcPr>
            <w:tcW w:w="1291" w:type="dxa"/>
            <w:tcBorders>
              <w:top w:val="nil"/>
              <w:left w:val="single" w:sz="8" w:space="0" w:color="auto"/>
              <w:bottom w:val="dotted" w:sz="4" w:space="0" w:color="auto"/>
              <w:right w:val="single" w:sz="8" w:space="0" w:color="auto"/>
            </w:tcBorders>
            <w:shd w:val="clear" w:color="auto" w:fill="auto"/>
            <w:noWrap/>
            <w:vAlign w:val="bottom"/>
            <w:hideMark/>
          </w:tcPr>
          <w:p w14:paraId="7CD4727E" w14:textId="77777777" w:rsidR="008C4113" w:rsidRPr="00D035F1" w:rsidRDefault="008C4113" w:rsidP="008C4113">
            <w:pPr>
              <w:spacing w:after="0" w:line="240" w:lineRule="auto"/>
              <w:rPr>
                <w:rFonts w:ascii="Calibri" w:eastAsia="Times New Roman" w:hAnsi="Calibri" w:cs="Calibri"/>
                <w:b/>
                <w:bCs/>
                <w:sz w:val="20"/>
                <w:szCs w:val="20"/>
              </w:rPr>
            </w:pPr>
            <w:r>
              <w:rPr>
                <w:rFonts w:ascii="Calibri" w:hAnsi="Calibri"/>
                <w:b/>
                <w:sz w:val="20"/>
              </w:rPr>
              <w:t xml:space="preserve">    4.213.104 </w:t>
            </w:r>
          </w:p>
        </w:tc>
        <w:tc>
          <w:tcPr>
            <w:tcW w:w="1615" w:type="dxa"/>
            <w:tcBorders>
              <w:top w:val="nil"/>
              <w:left w:val="single" w:sz="8" w:space="0" w:color="auto"/>
              <w:bottom w:val="single" w:sz="4" w:space="0" w:color="auto"/>
              <w:right w:val="nil"/>
            </w:tcBorders>
            <w:shd w:val="clear" w:color="auto" w:fill="auto"/>
            <w:noWrap/>
            <w:vAlign w:val="bottom"/>
            <w:hideMark/>
          </w:tcPr>
          <w:p w14:paraId="7D3947ED"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8%</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19894E8E"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20%</w:t>
            </w:r>
          </w:p>
        </w:tc>
      </w:tr>
      <w:tr w:rsidR="008C4113" w:rsidRPr="00D035F1" w14:paraId="43421821" w14:textId="77777777" w:rsidTr="008C4113">
        <w:trPr>
          <w:trHeight w:val="288"/>
        </w:trPr>
        <w:tc>
          <w:tcPr>
            <w:tcW w:w="3980" w:type="dxa"/>
            <w:tcBorders>
              <w:top w:val="nil"/>
              <w:left w:val="single" w:sz="8" w:space="0" w:color="auto"/>
              <w:bottom w:val="dashed" w:sz="4" w:space="0" w:color="auto"/>
              <w:right w:val="single" w:sz="8" w:space="0" w:color="auto"/>
            </w:tcBorders>
            <w:shd w:val="clear" w:color="auto" w:fill="auto"/>
            <w:noWrap/>
            <w:vAlign w:val="bottom"/>
            <w:hideMark/>
          </w:tcPr>
          <w:p w14:paraId="1EE5664C" w14:textId="19DFF04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Financiamento do Projecto de SDSR pela Suécia </w:t>
            </w:r>
          </w:p>
        </w:tc>
        <w:tc>
          <w:tcPr>
            <w:tcW w:w="1291" w:type="dxa"/>
            <w:tcBorders>
              <w:top w:val="nil"/>
              <w:left w:val="single" w:sz="8" w:space="0" w:color="auto"/>
              <w:bottom w:val="dotted" w:sz="4" w:space="0" w:color="auto"/>
              <w:right w:val="single" w:sz="8" w:space="0" w:color="auto"/>
            </w:tcBorders>
            <w:shd w:val="clear" w:color="auto" w:fill="auto"/>
            <w:noWrap/>
            <w:vAlign w:val="bottom"/>
            <w:hideMark/>
          </w:tcPr>
          <w:p w14:paraId="619237F7" w14:textId="77777777" w:rsidR="008C4113" w:rsidRPr="00D035F1" w:rsidRDefault="008C4113" w:rsidP="008C4113">
            <w:pPr>
              <w:spacing w:after="0" w:line="240" w:lineRule="auto"/>
              <w:rPr>
                <w:rFonts w:ascii="Calibri" w:eastAsia="Times New Roman" w:hAnsi="Calibri" w:cs="Calibri"/>
                <w:b/>
                <w:bCs/>
                <w:sz w:val="20"/>
                <w:szCs w:val="20"/>
              </w:rPr>
            </w:pPr>
            <w:r>
              <w:rPr>
                <w:rFonts w:ascii="Calibri" w:hAnsi="Calibri"/>
                <w:b/>
                <w:sz w:val="20"/>
              </w:rPr>
              <w:t xml:space="preserve">  23.220.330 </w:t>
            </w:r>
          </w:p>
        </w:tc>
        <w:tc>
          <w:tcPr>
            <w:tcW w:w="1615" w:type="dxa"/>
            <w:tcBorders>
              <w:top w:val="nil"/>
              <w:left w:val="single" w:sz="8" w:space="0" w:color="auto"/>
              <w:bottom w:val="single" w:sz="4" w:space="0" w:color="auto"/>
              <w:right w:val="nil"/>
            </w:tcBorders>
            <w:shd w:val="clear" w:color="auto" w:fill="auto"/>
            <w:noWrap/>
            <w:vAlign w:val="bottom"/>
            <w:hideMark/>
          </w:tcPr>
          <w:p w14:paraId="4179EE13"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45%</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7DAF2597"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110%</w:t>
            </w:r>
          </w:p>
        </w:tc>
      </w:tr>
      <w:tr w:rsidR="008C4113" w:rsidRPr="00D035F1" w14:paraId="2456DC51" w14:textId="77777777" w:rsidTr="008C4113">
        <w:trPr>
          <w:trHeight w:val="315"/>
        </w:trPr>
        <w:tc>
          <w:tcPr>
            <w:tcW w:w="3980" w:type="dxa"/>
            <w:tcBorders>
              <w:top w:val="nil"/>
              <w:left w:val="single" w:sz="8" w:space="0" w:color="auto"/>
              <w:bottom w:val="dashed" w:sz="4" w:space="0" w:color="auto"/>
              <w:right w:val="single" w:sz="8" w:space="0" w:color="auto"/>
            </w:tcBorders>
            <w:shd w:val="clear" w:color="auto" w:fill="auto"/>
            <w:noWrap/>
            <w:vAlign w:val="bottom"/>
            <w:hideMark/>
          </w:tcPr>
          <w:p w14:paraId="59A470A5"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Fundos concedidos por outros doadores </w:t>
            </w:r>
          </w:p>
        </w:tc>
        <w:tc>
          <w:tcPr>
            <w:tcW w:w="1291" w:type="dxa"/>
            <w:tcBorders>
              <w:top w:val="nil"/>
              <w:left w:val="single" w:sz="8" w:space="0" w:color="auto"/>
              <w:bottom w:val="dotted" w:sz="4" w:space="0" w:color="auto"/>
              <w:right w:val="single" w:sz="8" w:space="0" w:color="auto"/>
            </w:tcBorders>
            <w:shd w:val="clear" w:color="auto" w:fill="auto"/>
            <w:noWrap/>
            <w:vAlign w:val="bottom"/>
            <w:hideMark/>
          </w:tcPr>
          <w:p w14:paraId="14824ECC" w14:textId="77777777" w:rsidR="008C4113" w:rsidRPr="00D035F1" w:rsidRDefault="008C4113" w:rsidP="008C4113">
            <w:pPr>
              <w:spacing w:after="0" w:line="240" w:lineRule="auto"/>
              <w:rPr>
                <w:rFonts w:ascii="Calibri" w:eastAsia="Times New Roman" w:hAnsi="Calibri" w:cs="Calibri"/>
                <w:b/>
                <w:bCs/>
                <w:sz w:val="20"/>
                <w:szCs w:val="20"/>
              </w:rPr>
            </w:pPr>
            <w:r>
              <w:rPr>
                <w:rFonts w:ascii="Calibri" w:hAnsi="Calibri"/>
                <w:b/>
                <w:sz w:val="20"/>
              </w:rPr>
              <w:t xml:space="preserve">    2.661.458 </w:t>
            </w:r>
          </w:p>
        </w:tc>
        <w:tc>
          <w:tcPr>
            <w:tcW w:w="1615" w:type="dxa"/>
            <w:tcBorders>
              <w:top w:val="nil"/>
              <w:left w:val="single" w:sz="8" w:space="0" w:color="auto"/>
              <w:bottom w:val="single" w:sz="4" w:space="0" w:color="auto"/>
              <w:right w:val="nil"/>
            </w:tcBorders>
            <w:shd w:val="clear" w:color="auto" w:fill="auto"/>
            <w:noWrap/>
            <w:vAlign w:val="bottom"/>
            <w:hideMark/>
          </w:tcPr>
          <w:p w14:paraId="6615AE51"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5%</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68CD3AD5"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13%</w:t>
            </w:r>
          </w:p>
        </w:tc>
      </w:tr>
      <w:tr w:rsidR="008C4113" w:rsidRPr="00D035F1" w14:paraId="0308197E" w14:textId="77777777" w:rsidTr="008C4113">
        <w:trPr>
          <w:trHeight w:val="315"/>
        </w:trPr>
        <w:tc>
          <w:tcPr>
            <w:tcW w:w="3980" w:type="dxa"/>
            <w:tcBorders>
              <w:top w:val="nil"/>
              <w:left w:val="single" w:sz="8" w:space="0" w:color="auto"/>
              <w:bottom w:val="nil"/>
              <w:right w:val="single" w:sz="8" w:space="0" w:color="auto"/>
            </w:tcBorders>
            <w:shd w:val="clear" w:color="auto" w:fill="auto"/>
            <w:noWrap/>
            <w:vAlign w:val="bottom"/>
            <w:hideMark/>
          </w:tcPr>
          <w:p w14:paraId="334EC839"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291" w:type="dxa"/>
            <w:tcBorders>
              <w:top w:val="nil"/>
              <w:left w:val="single" w:sz="8" w:space="0" w:color="auto"/>
              <w:bottom w:val="nil"/>
              <w:right w:val="single" w:sz="8" w:space="0" w:color="auto"/>
            </w:tcBorders>
            <w:shd w:val="clear" w:color="auto" w:fill="auto"/>
            <w:noWrap/>
            <w:vAlign w:val="bottom"/>
            <w:hideMark/>
          </w:tcPr>
          <w:p w14:paraId="70640068" w14:textId="77777777" w:rsidR="008C4113" w:rsidRPr="00D035F1" w:rsidRDefault="008C4113" w:rsidP="008C4113">
            <w:pPr>
              <w:spacing w:after="0" w:line="240" w:lineRule="auto"/>
              <w:rPr>
                <w:rFonts w:ascii="Calibri" w:eastAsia="Times New Roman" w:hAnsi="Calibri" w:cs="Calibri"/>
                <w:b/>
                <w:bCs/>
                <w:sz w:val="20"/>
                <w:szCs w:val="20"/>
              </w:rPr>
            </w:pPr>
            <w:r>
              <w:rPr>
                <w:rFonts w:ascii="Calibri" w:hAnsi="Calibri"/>
                <w:b/>
                <w:sz w:val="20"/>
              </w:rPr>
              <w:t> </w:t>
            </w:r>
          </w:p>
        </w:tc>
        <w:tc>
          <w:tcPr>
            <w:tcW w:w="1615" w:type="dxa"/>
            <w:tcBorders>
              <w:top w:val="nil"/>
              <w:left w:val="single" w:sz="8" w:space="0" w:color="auto"/>
              <w:bottom w:val="single" w:sz="8" w:space="0" w:color="auto"/>
              <w:right w:val="nil"/>
            </w:tcBorders>
            <w:shd w:val="clear" w:color="auto" w:fill="auto"/>
            <w:noWrap/>
            <w:vAlign w:val="bottom"/>
            <w:hideMark/>
          </w:tcPr>
          <w:p w14:paraId="47707D7B"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 </w:t>
            </w:r>
          </w:p>
        </w:tc>
        <w:tc>
          <w:tcPr>
            <w:tcW w:w="1640" w:type="dxa"/>
            <w:tcBorders>
              <w:top w:val="nil"/>
              <w:left w:val="single" w:sz="8" w:space="0" w:color="auto"/>
              <w:bottom w:val="single" w:sz="8" w:space="0" w:color="auto"/>
              <w:right w:val="single" w:sz="8" w:space="0" w:color="auto"/>
            </w:tcBorders>
            <w:shd w:val="clear" w:color="auto" w:fill="auto"/>
            <w:noWrap/>
            <w:vAlign w:val="bottom"/>
            <w:hideMark/>
          </w:tcPr>
          <w:p w14:paraId="418AC082"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 </w:t>
            </w:r>
          </w:p>
        </w:tc>
      </w:tr>
      <w:tr w:rsidR="008C4113" w:rsidRPr="00D035F1" w14:paraId="2BE059A8" w14:textId="77777777" w:rsidTr="008C4113">
        <w:trPr>
          <w:trHeight w:val="300"/>
        </w:trPr>
        <w:tc>
          <w:tcPr>
            <w:tcW w:w="398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68C69737"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RECEITAS TOTAIS </w:t>
            </w:r>
          </w:p>
        </w:tc>
        <w:tc>
          <w:tcPr>
            <w:tcW w:w="1291" w:type="dxa"/>
            <w:tcBorders>
              <w:top w:val="single" w:sz="8" w:space="0" w:color="auto"/>
              <w:left w:val="single" w:sz="8" w:space="0" w:color="auto"/>
              <w:bottom w:val="nil"/>
              <w:right w:val="single" w:sz="8" w:space="0" w:color="auto"/>
            </w:tcBorders>
            <w:shd w:val="clear" w:color="000000" w:fill="BFBFBF"/>
            <w:noWrap/>
            <w:vAlign w:val="bottom"/>
            <w:hideMark/>
          </w:tcPr>
          <w:p w14:paraId="25A40BC6" w14:textId="77777777" w:rsidR="008C4113" w:rsidRPr="00D035F1" w:rsidRDefault="008C4113" w:rsidP="008C4113">
            <w:pPr>
              <w:spacing w:after="0" w:line="240" w:lineRule="auto"/>
              <w:rPr>
                <w:rFonts w:ascii="Arial Narrow" w:eastAsia="Times New Roman" w:hAnsi="Arial Narrow" w:cs="Calibri"/>
                <w:sz w:val="20"/>
                <w:szCs w:val="20"/>
              </w:rPr>
            </w:pPr>
            <w:r>
              <w:rPr>
                <w:rFonts w:ascii="Arial Narrow" w:hAnsi="Arial Narrow"/>
                <w:sz w:val="20"/>
              </w:rPr>
              <w:t xml:space="preserve">    51.422.942 </w:t>
            </w:r>
          </w:p>
        </w:tc>
        <w:tc>
          <w:tcPr>
            <w:tcW w:w="1615" w:type="dxa"/>
            <w:tcBorders>
              <w:top w:val="nil"/>
              <w:left w:val="single" w:sz="8" w:space="0" w:color="auto"/>
              <w:bottom w:val="single" w:sz="8" w:space="0" w:color="auto"/>
              <w:right w:val="nil"/>
            </w:tcBorders>
            <w:shd w:val="clear" w:color="000000" w:fill="BFBFBF"/>
            <w:noWrap/>
            <w:vAlign w:val="bottom"/>
            <w:hideMark/>
          </w:tcPr>
          <w:p w14:paraId="21647FE7"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 </w:t>
            </w:r>
          </w:p>
        </w:tc>
        <w:tc>
          <w:tcPr>
            <w:tcW w:w="1640" w:type="dxa"/>
            <w:tcBorders>
              <w:top w:val="nil"/>
              <w:left w:val="single" w:sz="8" w:space="0" w:color="auto"/>
              <w:bottom w:val="single" w:sz="8" w:space="0" w:color="auto"/>
              <w:right w:val="single" w:sz="8" w:space="0" w:color="auto"/>
            </w:tcBorders>
            <w:shd w:val="clear" w:color="000000" w:fill="BFBFBF"/>
            <w:noWrap/>
            <w:vAlign w:val="bottom"/>
            <w:hideMark/>
          </w:tcPr>
          <w:p w14:paraId="278B73A5" w14:textId="77777777" w:rsidR="008C4113" w:rsidRPr="00D035F1" w:rsidRDefault="008C4113" w:rsidP="008C4113">
            <w:pPr>
              <w:spacing w:after="0" w:line="240" w:lineRule="auto"/>
              <w:rPr>
                <w:rFonts w:ascii="Calibri" w:eastAsia="Times New Roman" w:hAnsi="Calibri" w:cs="Calibri"/>
                <w:color w:val="000000"/>
              </w:rPr>
            </w:pPr>
            <w:r>
              <w:rPr>
                <w:rFonts w:ascii="Calibri" w:hAnsi="Calibri"/>
                <w:color w:val="000000"/>
              </w:rPr>
              <w:t> </w:t>
            </w:r>
          </w:p>
        </w:tc>
      </w:tr>
      <w:tr w:rsidR="008C4113" w:rsidRPr="00D035F1" w14:paraId="7CACF490" w14:textId="77777777" w:rsidTr="008C4113">
        <w:trPr>
          <w:trHeight w:val="180"/>
        </w:trPr>
        <w:tc>
          <w:tcPr>
            <w:tcW w:w="3980" w:type="dxa"/>
            <w:tcBorders>
              <w:top w:val="nil"/>
              <w:left w:val="single" w:sz="8" w:space="0" w:color="auto"/>
              <w:bottom w:val="nil"/>
              <w:right w:val="single" w:sz="8" w:space="0" w:color="auto"/>
            </w:tcBorders>
            <w:shd w:val="clear" w:color="auto" w:fill="auto"/>
            <w:noWrap/>
            <w:vAlign w:val="bottom"/>
            <w:hideMark/>
          </w:tcPr>
          <w:p w14:paraId="58DC5E44"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291" w:type="dxa"/>
            <w:tcBorders>
              <w:top w:val="single" w:sz="8" w:space="0" w:color="auto"/>
              <w:left w:val="single" w:sz="8" w:space="0" w:color="auto"/>
              <w:bottom w:val="dotted" w:sz="4" w:space="0" w:color="auto"/>
              <w:right w:val="single" w:sz="8" w:space="0" w:color="auto"/>
            </w:tcBorders>
            <w:shd w:val="clear" w:color="auto" w:fill="auto"/>
            <w:noWrap/>
            <w:vAlign w:val="bottom"/>
            <w:hideMark/>
          </w:tcPr>
          <w:p w14:paraId="1919478C" w14:textId="77777777" w:rsidR="008C4113" w:rsidRPr="00D035F1" w:rsidRDefault="008C4113" w:rsidP="008C4113">
            <w:pPr>
              <w:spacing w:after="0" w:line="240" w:lineRule="auto"/>
              <w:rPr>
                <w:rFonts w:ascii="Calibri" w:eastAsia="Times New Roman" w:hAnsi="Calibri" w:cs="Calibri"/>
              </w:rPr>
            </w:pPr>
            <w:r>
              <w:rPr>
                <w:rFonts w:ascii="Calibri" w:hAnsi="Calibri"/>
              </w:rPr>
              <w:t> </w:t>
            </w:r>
          </w:p>
        </w:tc>
        <w:tc>
          <w:tcPr>
            <w:tcW w:w="1615" w:type="dxa"/>
            <w:tcBorders>
              <w:top w:val="nil"/>
              <w:left w:val="single" w:sz="8" w:space="0" w:color="auto"/>
              <w:bottom w:val="single" w:sz="4" w:space="0" w:color="auto"/>
              <w:right w:val="nil"/>
            </w:tcBorders>
            <w:shd w:val="clear" w:color="auto" w:fill="auto"/>
            <w:noWrap/>
            <w:vAlign w:val="bottom"/>
            <w:hideMark/>
          </w:tcPr>
          <w:p w14:paraId="79DA8E76"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 </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50984572" w14:textId="77777777" w:rsidR="008C4113" w:rsidRPr="00D035F1" w:rsidRDefault="008C4113" w:rsidP="008C4113">
            <w:pPr>
              <w:spacing w:after="0" w:line="240" w:lineRule="auto"/>
              <w:rPr>
                <w:rFonts w:ascii="Calibri" w:eastAsia="Times New Roman" w:hAnsi="Calibri" w:cs="Calibri"/>
                <w:color w:val="000000"/>
              </w:rPr>
            </w:pPr>
            <w:r>
              <w:rPr>
                <w:rFonts w:ascii="Calibri" w:hAnsi="Calibri"/>
                <w:color w:val="000000"/>
              </w:rPr>
              <w:t> </w:t>
            </w:r>
          </w:p>
        </w:tc>
      </w:tr>
      <w:tr w:rsidR="008C4113" w:rsidRPr="00D035F1" w14:paraId="6B2AC82E" w14:textId="77777777" w:rsidTr="008C4113">
        <w:trPr>
          <w:trHeight w:val="288"/>
        </w:trPr>
        <w:tc>
          <w:tcPr>
            <w:tcW w:w="3980"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122F2377"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DESPESAS ADMINISTRATIVAS GERAIS </w:t>
            </w:r>
          </w:p>
        </w:tc>
        <w:tc>
          <w:tcPr>
            <w:tcW w:w="1291"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3570361E"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2.705.558 </w:t>
            </w:r>
          </w:p>
        </w:tc>
        <w:tc>
          <w:tcPr>
            <w:tcW w:w="1615" w:type="dxa"/>
            <w:tcBorders>
              <w:top w:val="nil"/>
              <w:left w:val="single" w:sz="8" w:space="0" w:color="auto"/>
              <w:bottom w:val="single" w:sz="4" w:space="0" w:color="auto"/>
              <w:right w:val="nil"/>
            </w:tcBorders>
            <w:shd w:val="clear" w:color="auto" w:fill="auto"/>
            <w:noWrap/>
            <w:vAlign w:val="bottom"/>
            <w:hideMark/>
          </w:tcPr>
          <w:p w14:paraId="2CD8E4FB"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5%</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17D540FC"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13%</w:t>
            </w:r>
          </w:p>
        </w:tc>
      </w:tr>
      <w:tr w:rsidR="008C4113" w:rsidRPr="00D035F1" w14:paraId="2529F757" w14:textId="77777777" w:rsidTr="008C4113">
        <w:trPr>
          <w:trHeight w:val="288"/>
        </w:trPr>
        <w:tc>
          <w:tcPr>
            <w:tcW w:w="3980" w:type="dxa"/>
            <w:tcBorders>
              <w:top w:val="nil"/>
              <w:left w:val="single" w:sz="8" w:space="0" w:color="auto"/>
              <w:bottom w:val="single" w:sz="4" w:space="0" w:color="FF0000"/>
              <w:right w:val="single" w:sz="8" w:space="0" w:color="auto"/>
            </w:tcBorders>
            <w:shd w:val="clear" w:color="auto" w:fill="auto"/>
            <w:noWrap/>
            <w:vAlign w:val="bottom"/>
            <w:hideMark/>
          </w:tcPr>
          <w:p w14:paraId="634E753C" w14:textId="77777777" w:rsidR="008C4113" w:rsidRPr="00D035F1" w:rsidRDefault="008C4113" w:rsidP="008C4113">
            <w:pPr>
              <w:spacing w:after="0" w:line="240" w:lineRule="auto"/>
              <w:rPr>
                <w:rFonts w:ascii="Arial Narrow" w:eastAsia="Times New Roman" w:hAnsi="Arial Narrow" w:cs="Calibri"/>
                <w:b/>
                <w:bCs/>
              </w:rPr>
            </w:pPr>
            <w:r>
              <w:rPr>
                <w:rFonts w:ascii="Arial Narrow" w:hAnsi="Arial Narrow"/>
                <w:b/>
              </w:rPr>
              <w:t xml:space="preserve"> EMOLUMENTOS DOS FUNCIONÁRIOS </w:t>
            </w:r>
          </w:p>
        </w:tc>
        <w:tc>
          <w:tcPr>
            <w:tcW w:w="1291"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3F4679F"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15.659.084 </w:t>
            </w:r>
          </w:p>
        </w:tc>
        <w:tc>
          <w:tcPr>
            <w:tcW w:w="1615" w:type="dxa"/>
            <w:tcBorders>
              <w:top w:val="nil"/>
              <w:left w:val="single" w:sz="8" w:space="0" w:color="auto"/>
              <w:bottom w:val="single" w:sz="4" w:space="0" w:color="auto"/>
              <w:right w:val="nil"/>
            </w:tcBorders>
            <w:shd w:val="clear" w:color="auto" w:fill="auto"/>
            <w:noWrap/>
            <w:vAlign w:val="bottom"/>
            <w:hideMark/>
          </w:tcPr>
          <w:p w14:paraId="62381D05"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30%</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1DBE35FD"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74%</w:t>
            </w:r>
          </w:p>
        </w:tc>
      </w:tr>
      <w:tr w:rsidR="008C4113" w:rsidRPr="00D035F1" w14:paraId="7BBE9280" w14:textId="77777777" w:rsidTr="008C4113">
        <w:trPr>
          <w:trHeight w:val="288"/>
        </w:trPr>
        <w:tc>
          <w:tcPr>
            <w:tcW w:w="3980"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6028292"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DESPESAS OPERACIONAIS DIRECTAS </w:t>
            </w:r>
          </w:p>
        </w:tc>
        <w:tc>
          <w:tcPr>
            <w:tcW w:w="1291"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3957FD32"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4.301.600 </w:t>
            </w:r>
          </w:p>
        </w:tc>
        <w:tc>
          <w:tcPr>
            <w:tcW w:w="1615" w:type="dxa"/>
            <w:tcBorders>
              <w:top w:val="nil"/>
              <w:left w:val="single" w:sz="8" w:space="0" w:color="auto"/>
              <w:bottom w:val="single" w:sz="4" w:space="0" w:color="auto"/>
              <w:right w:val="nil"/>
            </w:tcBorders>
            <w:shd w:val="clear" w:color="auto" w:fill="auto"/>
            <w:noWrap/>
            <w:vAlign w:val="bottom"/>
            <w:hideMark/>
          </w:tcPr>
          <w:p w14:paraId="7F993F0D"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8%</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3514D866"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20%</w:t>
            </w:r>
          </w:p>
        </w:tc>
      </w:tr>
      <w:tr w:rsidR="008C4113" w:rsidRPr="00D035F1" w14:paraId="2D12F8E6" w14:textId="77777777" w:rsidTr="008C4113">
        <w:trPr>
          <w:trHeight w:val="288"/>
        </w:trPr>
        <w:tc>
          <w:tcPr>
            <w:tcW w:w="3980"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9072359"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ACTIVIDADES DOS PROGRAMAS (financiadas por doadores) </w:t>
            </w:r>
          </w:p>
        </w:tc>
        <w:tc>
          <w:tcPr>
            <w:tcW w:w="1291"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01E3E813"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25.881.788 </w:t>
            </w:r>
          </w:p>
        </w:tc>
        <w:tc>
          <w:tcPr>
            <w:tcW w:w="1615" w:type="dxa"/>
            <w:tcBorders>
              <w:top w:val="nil"/>
              <w:left w:val="single" w:sz="8" w:space="0" w:color="auto"/>
              <w:bottom w:val="single" w:sz="4" w:space="0" w:color="auto"/>
              <w:right w:val="nil"/>
            </w:tcBorders>
            <w:shd w:val="clear" w:color="auto" w:fill="auto"/>
            <w:noWrap/>
            <w:vAlign w:val="bottom"/>
            <w:hideMark/>
          </w:tcPr>
          <w:p w14:paraId="1F4AD31B"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50%</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1491811D"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122%</w:t>
            </w:r>
          </w:p>
        </w:tc>
      </w:tr>
      <w:tr w:rsidR="008C4113" w:rsidRPr="00D035F1" w14:paraId="12B548F3" w14:textId="77777777" w:rsidTr="008C4113">
        <w:trPr>
          <w:trHeight w:val="300"/>
        </w:trPr>
        <w:tc>
          <w:tcPr>
            <w:tcW w:w="3980" w:type="dxa"/>
            <w:tcBorders>
              <w:top w:val="nil"/>
              <w:left w:val="single" w:sz="8" w:space="0" w:color="auto"/>
              <w:bottom w:val="single" w:sz="4" w:space="0" w:color="FF0000"/>
              <w:right w:val="single" w:sz="8" w:space="0" w:color="auto"/>
            </w:tcBorders>
            <w:shd w:val="clear" w:color="auto" w:fill="auto"/>
            <w:noWrap/>
            <w:vAlign w:val="bottom"/>
            <w:hideMark/>
          </w:tcPr>
          <w:p w14:paraId="4BE34E58"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OUTRAS DESPESAS NÃO-RECORRENTES </w:t>
            </w:r>
          </w:p>
        </w:tc>
        <w:tc>
          <w:tcPr>
            <w:tcW w:w="1291"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6A41680C"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1.593.648 </w:t>
            </w:r>
          </w:p>
        </w:tc>
        <w:tc>
          <w:tcPr>
            <w:tcW w:w="1615" w:type="dxa"/>
            <w:tcBorders>
              <w:top w:val="nil"/>
              <w:left w:val="single" w:sz="8" w:space="0" w:color="auto"/>
              <w:bottom w:val="single" w:sz="4" w:space="0" w:color="auto"/>
              <w:right w:val="nil"/>
            </w:tcBorders>
            <w:shd w:val="clear" w:color="auto" w:fill="auto"/>
            <w:noWrap/>
            <w:vAlign w:val="bottom"/>
            <w:hideMark/>
          </w:tcPr>
          <w:p w14:paraId="6A418BA5"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3%</w:t>
            </w:r>
          </w:p>
        </w:tc>
        <w:tc>
          <w:tcPr>
            <w:tcW w:w="1640" w:type="dxa"/>
            <w:tcBorders>
              <w:top w:val="nil"/>
              <w:left w:val="single" w:sz="8" w:space="0" w:color="auto"/>
              <w:bottom w:val="single" w:sz="4" w:space="0" w:color="auto"/>
              <w:right w:val="single" w:sz="8" w:space="0" w:color="auto"/>
            </w:tcBorders>
            <w:shd w:val="clear" w:color="auto" w:fill="auto"/>
            <w:noWrap/>
            <w:vAlign w:val="bottom"/>
            <w:hideMark/>
          </w:tcPr>
          <w:p w14:paraId="6F97195F"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8%</w:t>
            </w:r>
          </w:p>
        </w:tc>
      </w:tr>
      <w:tr w:rsidR="008C4113" w:rsidRPr="00D035F1" w14:paraId="4F221A1B" w14:textId="77777777" w:rsidTr="008C4113">
        <w:trPr>
          <w:trHeight w:val="300"/>
        </w:trPr>
        <w:tc>
          <w:tcPr>
            <w:tcW w:w="398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4FBC5A6F"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DESPESAS TOTAIS </w:t>
            </w:r>
          </w:p>
        </w:tc>
        <w:tc>
          <w:tcPr>
            <w:tcW w:w="129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07E62B18"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50.141.678 </w:t>
            </w:r>
          </w:p>
        </w:tc>
        <w:tc>
          <w:tcPr>
            <w:tcW w:w="1615" w:type="dxa"/>
            <w:tcBorders>
              <w:top w:val="single" w:sz="8" w:space="0" w:color="auto"/>
              <w:left w:val="single" w:sz="8" w:space="0" w:color="auto"/>
              <w:bottom w:val="single" w:sz="8" w:space="0" w:color="auto"/>
              <w:right w:val="nil"/>
            </w:tcBorders>
            <w:shd w:val="clear" w:color="000000" w:fill="BFBFBF"/>
            <w:noWrap/>
            <w:vAlign w:val="bottom"/>
            <w:hideMark/>
          </w:tcPr>
          <w:p w14:paraId="240FF83C"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98%</w:t>
            </w:r>
          </w:p>
        </w:tc>
        <w:tc>
          <w:tcPr>
            <w:tcW w:w="164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13B2D856"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237%</w:t>
            </w:r>
          </w:p>
        </w:tc>
      </w:tr>
      <w:tr w:rsidR="008C4113" w:rsidRPr="00D035F1" w14:paraId="587A6F20" w14:textId="77777777" w:rsidTr="008C4113">
        <w:trPr>
          <w:trHeight w:val="300"/>
        </w:trPr>
        <w:tc>
          <w:tcPr>
            <w:tcW w:w="3980" w:type="dxa"/>
            <w:tcBorders>
              <w:top w:val="nil"/>
              <w:left w:val="single" w:sz="8" w:space="0" w:color="auto"/>
              <w:bottom w:val="single" w:sz="8" w:space="0" w:color="auto"/>
              <w:right w:val="single" w:sz="8" w:space="0" w:color="auto"/>
            </w:tcBorders>
            <w:shd w:val="clear" w:color="auto" w:fill="auto"/>
            <w:noWrap/>
            <w:vAlign w:val="bottom"/>
            <w:hideMark/>
          </w:tcPr>
          <w:p w14:paraId="6A5066DB"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EXCEDENTE/DÉFICE </w:t>
            </w:r>
          </w:p>
        </w:tc>
        <w:tc>
          <w:tcPr>
            <w:tcW w:w="1291" w:type="dxa"/>
            <w:tcBorders>
              <w:top w:val="nil"/>
              <w:left w:val="single" w:sz="8" w:space="0" w:color="auto"/>
              <w:bottom w:val="single" w:sz="8" w:space="0" w:color="auto"/>
              <w:right w:val="single" w:sz="8" w:space="0" w:color="auto"/>
            </w:tcBorders>
            <w:shd w:val="clear" w:color="auto" w:fill="auto"/>
            <w:noWrap/>
            <w:vAlign w:val="bottom"/>
            <w:hideMark/>
          </w:tcPr>
          <w:p w14:paraId="2986D2BA" w14:textId="77777777" w:rsidR="008C4113" w:rsidRPr="00D035F1" w:rsidRDefault="008C4113" w:rsidP="008C4113">
            <w:pPr>
              <w:spacing w:after="0" w:line="240" w:lineRule="auto"/>
              <w:rPr>
                <w:rFonts w:ascii="Arial Narrow" w:eastAsia="Times New Roman" w:hAnsi="Arial Narrow" w:cs="Calibri"/>
                <w:b/>
                <w:bCs/>
                <w:sz w:val="20"/>
                <w:szCs w:val="20"/>
              </w:rPr>
            </w:pPr>
            <w:r>
              <w:rPr>
                <w:rFonts w:ascii="Arial Narrow" w:hAnsi="Arial Narrow"/>
                <w:b/>
                <w:sz w:val="20"/>
              </w:rPr>
              <w:t xml:space="preserve">      1.281.264 </w:t>
            </w:r>
          </w:p>
        </w:tc>
        <w:tc>
          <w:tcPr>
            <w:tcW w:w="1615" w:type="dxa"/>
            <w:tcBorders>
              <w:top w:val="nil"/>
              <w:left w:val="single" w:sz="8" w:space="0" w:color="auto"/>
              <w:bottom w:val="single" w:sz="8" w:space="0" w:color="auto"/>
              <w:right w:val="nil"/>
            </w:tcBorders>
            <w:shd w:val="clear" w:color="auto" w:fill="auto"/>
            <w:noWrap/>
            <w:vAlign w:val="bottom"/>
            <w:hideMark/>
          </w:tcPr>
          <w:p w14:paraId="344EE404"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2%</w:t>
            </w:r>
          </w:p>
        </w:tc>
        <w:tc>
          <w:tcPr>
            <w:tcW w:w="1640" w:type="dxa"/>
            <w:tcBorders>
              <w:top w:val="nil"/>
              <w:left w:val="single" w:sz="8" w:space="0" w:color="auto"/>
              <w:bottom w:val="single" w:sz="8" w:space="0" w:color="auto"/>
              <w:right w:val="single" w:sz="8" w:space="0" w:color="auto"/>
            </w:tcBorders>
            <w:shd w:val="clear" w:color="auto" w:fill="auto"/>
            <w:noWrap/>
            <w:vAlign w:val="bottom"/>
            <w:hideMark/>
          </w:tcPr>
          <w:p w14:paraId="518E3B01" w14:textId="77777777" w:rsidR="008C4113" w:rsidRPr="00D035F1" w:rsidRDefault="008C4113" w:rsidP="008C4113">
            <w:pPr>
              <w:spacing w:after="0" w:line="240" w:lineRule="auto"/>
              <w:jc w:val="center"/>
              <w:rPr>
                <w:rFonts w:ascii="Calibri" w:eastAsia="Times New Roman" w:hAnsi="Calibri" w:cs="Calibri"/>
                <w:b/>
                <w:bCs/>
                <w:color w:val="000000"/>
              </w:rPr>
            </w:pPr>
            <w:r>
              <w:rPr>
                <w:rFonts w:ascii="Calibri" w:hAnsi="Calibri"/>
                <w:b/>
                <w:color w:val="000000"/>
              </w:rPr>
              <w:t>6%</w:t>
            </w:r>
          </w:p>
        </w:tc>
      </w:tr>
    </w:tbl>
    <w:p w14:paraId="6C060FB0" w14:textId="77777777" w:rsidR="007F6BD4" w:rsidRDefault="007F6BD4" w:rsidP="007F6BD4">
      <w:pPr>
        <w:jc w:val="both"/>
        <w:rPr>
          <w:rFonts w:ascii="Bookman Old Style" w:hAnsi="Bookman Old Style"/>
          <w:sz w:val="24"/>
          <w:szCs w:val="24"/>
        </w:rPr>
      </w:pPr>
    </w:p>
    <w:p w14:paraId="3F94D6D0" w14:textId="7BAA958A" w:rsidR="007F6BD4" w:rsidRDefault="009944B2" w:rsidP="009944B2">
      <w:pPr>
        <w:ind w:left="720" w:hanging="720"/>
        <w:jc w:val="both"/>
        <w:rPr>
          <w:rFonts w:ascii="Bookman Old Style" w:hAnsi="Bookman Old Style"/>
          <w:sz w:val="24"/>
          <w:szCs w:val="24"/>
        </w:rPr>
      </w:pPr>
      <w:r>
        <w:rPr>
          <w:rFonts w:ascii="Bookman Old Style" w:hAnsi="Bookman Old Style"/>
          <w:sz w:val="24"/>
        </w:rPr>
        <w:t>1.7.1</w:t>
      </w:r>
      <w:r>
        <w:rPr>
          <w:rFonts w:ascii="Bookman Old Style" w:hAnsi="Bookman Old Style"/>
          <w:sz w:val="24"/>
        </w:rPr>
        <w:tab/>
        <w:t>O financiamento concedido pelos doadores e parceiros de cooperação constitu</w:t>
      </w:r>
      <w:r w:rsidR="008C4113">
        <w:rPr>
          <w:rFonts w:ascii="Bookman Old Style" w:hAnsi="Bookman Old Style"/>
          <w:sz w:val="24"/>
        </w:rPr>
        <w:t>i</w:t>
      </w:r>
      <w:r>
        <w:rPr>
          <w:rFonts w:ascii="Bookman Old Style" w:hAnsi="Bookman Old Style"/>
          <w:sz w:val="24"/>
        </w:rPr>
        <w:t xml:space="preserve"> 51% dos fundos totais do orçamento do exercício financeiro 2022/2023.</w:t>
      </w:r>
      <w:r w:rsidR="008C4113">
        <w:rPr>
          <w:rFonts w:ascii="Bookman Old Style" w:hAnsi="Bookman Old Style"/>
          <w:sz w:val="24"/>
        </w:rPr>
        <w:t xml:space="preserve"> </w:t>
      </w:r>
      <w:r>
        <w:rPr>
          <w:rFonts w:ascii="Bookman Old Style" w:hAnsi="Bookman Old Style"/>
          <w:sz w:val="24"/>
        </w:rPr>
        <w:t>Do orçamento total de 51,42 milhões de dólares namibianos (N$51,42 milhões), 25,6 milhões (equivalentes a 51%) provinham de fontes externas, enquanto N$25,5 milhões (equivalentes a 49%) provinham das contribuições pagas pelos membros e de outras fontes internas. O financiamento da Suécia apenas (N$23,2 milhões) correspondia a 110% das contribuições obrigatórias pagas pelos membros (21,14 milhões).</w:t>
      </w:r>
    </w:p>
    <w:p w14:paraId="4C01B76A" w14:textId="05ACEFE0" w:rsidR="007F6BD4" w:rsidRDefault="009944B2" w:rsidP="009944B2">
      <w:pPr>
        <w:ind w:left="720" w:hanging="720"/>
        <w:jc w:val="both"/>
        <w:rPr>
          <w:rFonts w:ascii="Bookman Old Style" w:hAnsi="Bookman Old Style"/>
          <w:sz w:val="24"/>
          <w:szCs w:val="24"/>
        </w:rPr>
      </w:pPr>
      <w:r>
        <w:rPr>
          <w:rFonts w:ascii="Bookman Old Style" w:hAnsi="Bookman Old Style"/>
          <w:sz w:val="24"/>
        </w:rPr>
        <w:t>1.7.2.</w:t>
      </w:r>
      <w:r>
        <w:rPr>
          <w:rFonts w:ascii="Bookman Old Style" w:hAnsi="Bookman Old Style"/>
          <w:sz w:val="24"/>
        </w:rPr>
        <w:tab/>
        <w:t xml:space="preserve">A tabela acima apresentada também mostra as despesas como percentagem do orçamento total, incluindo os fundos concedidos por doadores e as despesas como percentagem das contribuições totais pagas pelos membros. A rubrica Emolumentos dos </w:t>
      </w:r>
      <w:r w:rsidR="008C4113">
        <w:rPr>
          <w:rFonts w:ascii="Bookman Old Style" w:hAnsi="Bookman Old Style"/>
          <w:sz w:val="24"/>
        </w:rPr>
        <w:t>F</w:t>
      </w:r>
      <w:r>
        <w:rPr>
          <w:rFonts w:ascii="Bookman Old Style" w:hAnsi="Bookman Old Style"/>
          <w:sz w:val="24"/>
        </w:rPr>
        <w:t xml:space="preserve">uncionários constitui 74% das contribuições totais pagas pelos membros – </w:t>
      </w:r>
      <w:r w:rsidR="008C4113">
        <w:rPr>
          <w:rFonts w:ascii="Bookman Old Style" w:hAnsi="Bookman Old Style"/>
          <w:sz w:val="24"/>
        </w:rPr>
        <w:t xml:space="preserve">no entanto, </w:t>
      </w:r>
      <w:r>
        <w:rPr>
          <w:rFonts w:ascii="Bookman Old Style" w:hAnsi="Bookman Old Style"/>
          <w:sz w:val="24"/>
        </w:rPr>
        <w:t xml:space="preserve">esta quantia não inclui os salários e os subsídios pagos aos funcionários dos projectos e dois postos-chave de Directora de </w:t>
      </w:r>
      <w:r w:rsidRPr="008C4113">
        <w:rPr>
          <w:rFonts w:ascii="Bookman Old Style" w:hAnsi="Bookman Old Style"/>
          <w:i/>
          <w:iCs/>
          <w:sz w:val="24"/>
        </w:rPr>
        <w:t>Corporate Governance</w:t>
      </w:r>
      <w:r>
        <w:rPr>
          <w:rFonts w:ascii="Bookman Old Style" w:hAnsi="Bookman Old Style"/>
          <w:sz w:val="24"/>
        </w:rPr>
        <w:t xml:space="preserve"> e de Gestor do Programa e Secretário da Comissão de DGHR que se inclu</w:t>
      </w:r>
      <w:r w:rsidR="00D67FC4">
        <w:rPr>
          <w:rFonts w:ascii="Bookman Old Style" w:hAnsi="Bookman Old Style"/>
          <w:sz w:val="24"/>
        </w:rPr>
        <w:t>em</w:t>
      </w:r>
      <w:r>
        <w:rPr>
          <w:rFonts w:ascii="Bookman Old Style" w:hAnsi="Bookman Old Style"/>
          <w:sz w:val="24"/>
        </w:rPr>
        <w:t xml:space="preserve"> </w:t>
      </w:r>
      <w:r w:rsidR="00D67FC4">
        <w:rPr>
          <w:rFonts w:ascii="Bookman Old Style" w:hAnsi="Bookman Old Style"/>
          <w:sz w:val="24"/>
        </w:rPr>
        <w:t>n</w:t>
      </w:r>
      <w:r>
        <w:rPr>
          <w:rFonts w:ascii="Bookman Old Style" w:hAnsi="Bookman Old Style"/>
          <w:sz w:val="24"/>
        </w:rPr>
        <w:t xml:space="preserve">a quantia para as Actividades dos Programas (financiadas por doadores) e se cifra em N$5,5 milhões por ano. Sem </w:t>
      </w:r>
      <w:r>
        <w:rPr>
          <w:rFonts w:ascii="Bookman Old Style" w:hAnsi="Bookman Old Style"/>
          <w:sz w:val="24"/>
        </w:rPr>
        <w:lastRenderedPageBreak/>
        <w:t xml:space="preserve">financiamento concedido por doadores, os funcionários dos projectos não podem ser atendidos. Além disso, os dois postos-chave deverão ser pagos a partir das contribuições pagas pelos membros a </w:t>
      </w:r>
      <w:r w:rsidR="00D67FC4">
        <w:rPr>
          <w:rFonts w:ascii="Bookman Old Style" w:hAnsi="Bookman Old Style"/>
          <w:sz w:val="24"/>
        </w:rPr>
        <w:t>contar</w:t>
      </w:r>
      <w:r>
        <w:rPr>
          <w:rFonts w:ascii="Bookman Old Style" w:hAnsi="Bookman Old Style"/>
          <w:sz w:val="24"/>
        </w:rPr>
        <w:t xml:space="preserve"> do exercício financeiro 2023. </w:t>
      </w:r>
    </w:p>
    <w:p w14:paraId="78E62CC7" w14:textId="1B560835" w:rsidR="007F6BD4" w:rsidRDefault="009944B2" w:rsidP="009944B2">
      <w:pPr>
        <w:ind w:left="720" w:hanging="720"/>
        <w:jc w:val="both"/>
        <w:rPr>
          <w:rFonts w:ascii="Bookman Old Style" w:hAnsi="Bookman Old Style"/>
          <w:sz w:val="24"/>
          <w:szCs w:val="24"/>
        </w:rPr>
      </w:pPr>
      <w:r>
        <w:rPr>
          <w:rFonts w:ascii="Bookman Old Style" w:hAnsi="Bookman Old Style"/>
          <w:sz w:val="24"/>
        </w:rPr>
        <w:t>1.7.3.</w:t>
      </w:r>
      <w:r>
        <w:rPr>
          <w:rFonts w:ascii="Bookman Old Style" w:hAnsi="Bookman Old Style"/>
          <w:sz w:val="24"/>
        </w:rPr>
        <w:tab/>
        <w:t xml:space="preserve">O orçamento das actividades dos programas, que decorre do financiamento concedido pelos doadores, cifrava-se em N$25,8 milhões, </w:t>
      </w:r>
      <w:r w:rsidR="00D67FC4">
        <w:rPr>
          <w:rFonts w:ascii="Bookman Old Style" w:hAnsi="Bookman Old Style"/>
          <w:sz w:val="24"/>
        </w:rPr>
        <w:t>os quais</w:t>
      </w:r>
      <w:r>
        <w:rPr>
          <w:rFonts w:ascii="Bookman Old Style" w:hAnsi="Bookman Old Style"/>
          <w:sz w:val="24"/>
        </w:rPr>
        <w:t xml:space="preserve"> representam 122% das contribuições pagas pelos membros. Este valor cobriu reuniões e sessões conjuntas das comissões permanentes e permitiu a realização presencial das reuniões estatutárias das comissões permanentes em Joanesburgo, África do Sul. </w:t>
      </w:r>
    </w:p>
    <w:p w14:paraId="3150D53D" w14:textId="4E8595DF" w:rsidR="007F6BD4" w:rsidRDefault="009944B2" w:rsidP="009944B2">
      <w:pPr>
        <w:ind w:left="720" w:hanging="720"/>
        <w:jc w:val="both"/>
        <w:rPr>
          <w:rFonts w:ascii="Bookman Old Style" w:hAnsi="Bookman Old Style"/>
          <w:sz w:val="24"/>
          <w:szCs w:val="24"/>
        </w:rPr>
      </w:pPr>
      <w:r>
        <w:rPr>
          <w:rFonts w:ascii="Bookman Old Style" w:hAnsi="Bookman Old Style"/>
          <w:sz w:val="24"/>
        </w:rPr>
        <w:t>1.7.4.</w:t>
      </w:r>
      <w:r>
        <w:rPr>
          <w:rFonts w:ascii="Bookman Old Style" w:hAnsi="Bookman Old Style"/>
          <w:sz w:val="24"/>
        </w:rPr>
        <w:tab/>
      </w:r>
      <w:r>
        <w:rPr>
          <w:rFonts w:ascii="Bookman Old Style" w:hAnsi="Bookman Old Style"/>
          <w:i/>
          <w:sz w:val="24"/>
        </w:rPr>
        <w:t>O quadro acima demonstra que, na ausência de apoio concedido por doadores e de outras fontes de receitas, o financiamento proveniente das contribuições obrigatórias pagas pelos membros é manifestamente insuficiente, disponibilizando apenas 26% das contribuições para as actividades (74% tendo sido alocados aos salários). A esse respeito, a proposta do orçamento de 2023/2024 requer que os parlamentos membros passem a suportar o custo da participação dos seus respectivos membros nas actividades do Fórum.</w:t>
      </w:r>
      <w:r>
        <w:rPr>
          <w:rFonts w:ascii="Bookman Old Style" w:hAnsi="Bookman Old Style"/>
          <w:sz w:val="24"/>
        </w:rPr>
        <w:t xml:space="preserve"> </w:t>
      </w:r>
    </w:p>
    <w:p w14:paraId="05116440" w14:textId="369214C1" w:rsidR="007F6BD4" w:rsidRPr="00D86572" w:rsidRDefault="00671528" w:rsidP="00671528">
      <w:pPr>
        <w:ind w:left="720" w:hanging="720"/>
        <w:jc w:val="both"/>
        <w:rPr>
          <w:rFonts w:ascii="Bookman Old Style" w:hAnsi="Bookman Old Style"/>
          <w:sz w:val="24"/>
          <w:szCs w:val="24"/>
        </w:rPr>
      </w:pPr>
      <w:r>
        <w:rPr>
          <w:rFonts w:ascii="Bookman Old Style" w:hAnsi="Bookman Old Style"/>
          <w:sz w:val="24"/>
        </w:rPr>
        <w:t>1.7.5.</w:t>
      </w:r>
      <w:r>
        <w:rPr>
          <w:rFonts w:ascii="Bookman Old Style" w:hAnsi="Bookman Old Style"/>
          <w:sz w:val="24"/>
        </w:rPr>
        <w:tab/>
        <w:t xml:space="preserve">Além da proposta do orçamento de 2023/2024, o Fórum vai ter de recorrer outra vez aos Lucros Acumulados para financiar algumas das suas actividades, e os parlamentos membros terão de ainda suportar o custo da participação dos seus respectivos membros. </w:t>
      </w:r>
    </w:p>
    <w:p w14:paraId="347C2E79" w14:textId="77777777" w:rsidR="00153A43" w:rsidRDefault="00153A43" w:rsidP="007F6BD4">
      <w:pPr>
        <w:pStyle w:val="Body"/>
        <w:rPr>
          <w:rFonts w:ascii="Bookman Old Style" w:hAnsi="Bookman Old Style"/>
          <w:b/>
          <w:bCs/>
          <w:sz w:val="24"/>
          <w:szCs w:val="24"/>
        </w:rPr>
      </w:pPr>
    </w:p>
    <w:p w14:paraId="2BDC1839" w14:textId="533B3FF9" w:rsidR="007F6BD4" w:rsidRPr="00784249" w:rsidRDefault="00153A43" w:rsidP="00D67FC4">
      <w:pPr>
        <w:pStyle w:val="Body"/>
        <w:ind w:left="720" w:hanging="720"/>
        <w:rPr>
          <w:rFonts w:ascii="Bookman Old Style" w:eastAsia="Avenir Heavy" w:hAnsi="Bookman Old Style" w:cs="Avenir Heavy"/>
          <w:b/>
          <w:bCs/>
          <w:sz w:val="24"/>
          <w:szCs w:val="24"/>
        </w:rPr>
      </w:pPr>
      <w:r>
        <w:rPr>
          <w:rFonts w:ascii="Bookman Old Style" w:hAnsi="Bookman Old Style"/>
          <w:b/>
          <w:sz w:val="24"/>
        </w:rPr>
        <w:t>1.8.</w:t>
      </w:r>
      <w:r>
        <w:rPr>
          <w:rFonts w:ascii="Bookman Old Style" w:hAnsi="Bookman Old Style"/>
          <w:b/>
          <w:sz w:val="24"/>
        </w:rPr>
        <w:tab/>
        <w:t>Elementos de sustentabilidade do financiamento dos doadores (em 30 de Setembro de 2022)</w:t>
      </w:r>
    </w:p>
    <w:p w14:paraId="359A04CB" w14:textId="77777777" w:rsidR="007F6BD4" w:rsidRPr="00D86572" w:rsidRDefault="007F6BD4" w:rsidP="007F6BD4">
      <w:pPr>
        <w:pStyle w:val="Body"/>
        <w:ind w:left="720"/>
        <w:rPr>
          <w:rFonts w:ascii="Bookman Old Style" w:hAnsi="Bookman Old Style"/>
        </w:rPr>
      </w:pPr>
    </w:p>
    <w:tbl>
      <w:tblPr>
        <w:tblW w:w="9917"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004C7F"/>
        <w:tblLayout w:type="fixed"/>
        <w:tblLook w:val="04A0" w:firstRow="1" w:lastRow="0" w:firstColumn="1" w:lastColumn="0" w:noHBand="0" w:noVBand="1"/>
      </w:tblPr>
      <w:tblGrid>
        <w:gridCol w:w="2694"/>
        <w:gridCol w:w="2408"/>
        <w:gridCol w:w="1922"/>
        <w:gridCol w:w="2893"/>
      </w:tblGrid>
      <w:tr w:rsidR="007F6BD4" w:rsidRPr="00D86572" w14:paraId="76865945" w14:textId="77777777" w:rsidTr="00A2337F">
        <w:trPr>
          <w:trHeight w:val="484"/>
          <w:tblHeader/>
        </w:trPr>
        <w:tc>
          <w:tcPr>
            <w:tcW w:w="2694" w:type="dxa"/>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70B6C186" w14:textId="77777777" w:rsidR="007F6BD4" w:rsidRPr="00D86572" w:rsidRDefault="007F6BD4" w:rsidP="00A2337F">
            <w:pPr>
              <w:pStyle w:val="TableStyle3"/>
              <w:rPr>
                <w:rFonts w:ascii="Bookman Old Style" w:hAnsi="Bookman Old Style"/>
              </w:rPr>
            </w:pPr>
            <w:r>
              <w:rPr>
                <w:rFonts w:ascii="Bookman Old Style" w:hAnsi="Bookman Old Style"/>
              </w:rPr>
              <w:t>Fonte de receitas</w:t>
            </w:r>
          </w:p>
        </w:tc>
        <w:tc>
          <w:tcPr>
            <w:tcW w:w="2408" w:type="dxa"/>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2E2B3375" w14:textId="1C84F342" w:rsidR="007F6BD4" w:rsidRPr="00D86572" w:rsidRDefault="00D67FC4" w:rsidP="00A2337F">
            <w:pPr>
              <w:pStyle w:val="TableStyle3"/>
              <w:rPr>
                <w:rFonts w:ascii="Bookman Old Style" w:hAnsi="Bookman Old Style"/>
              </w:rPr>
            </w:pPr>
            <w:r>
              <w:rPr>
                <w:rFonts w:ascii="Bookman Old Style" w:hAnsi="Bookman Old Style"/>
                <w:sz w:val="16"/>
              </w:rPr>
              <w:t>A</w:t>
            </w:r>
            <w:r w:rsidR="007F6BD4">
              <w:rPr>
                <w:rFonts w:ascii="Bookman Old Style" w:hAnsi="Bookman Old Style"/>
                <w:sz w:val="16"/>
              </w:rPr>
              <w:t xml:space="preserve"> respeito </w:t>
            </w:r>
            <w:r>
              <w:rPr>
                <w:rFonts w:ascii="Bookman Old Style" w:hAnsi="Bookman Old Style"/>
                <w:sz w:val="16"/>
              </w:rPr>
              <w:t>d</w:t>
            </w:r>
            <w:r w:rsidR="007F6BD4">
              <w:rPr>
                <w:rFonts w:ascii="Bookman Old Style" w:hAnsi="Bookman Old Style"/>
                <w:sz w:val="16"/>
              </w:rPr>
              <w:t xml:space="preserve">os seguintes elementos </w:t>
            </w:r>
          </w:p>
        </w:tc>
        <w:tc>
          <w:tcPr>
            <w:tcW w:w="1922" w:type="dxa"/>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4A61DA0F" w14:textId="77777777" w:rsidR="007F6BD4" w:rsidRPr="00D86572" w:rsidRDefault="007F6BD4" w:rsidP="00A2337F">
            <w:pPr>
              <w:pStyle w:val="TableStyle3"/>
              <w:rPr>
                <w:rFonts w:ascii="Bookman Old Style" w:hAnsi="Bookman Old Style"/>
              </w:rPr>
            </w:pPr>
            <w:r>
              <w:rPr>
                <w:rFonts w:ascii="Bookman Old Style" w:hAnsi="Bookman Old Style"/>
              </w:rPr>
              <w:t xml:space="preserve"> % de contribuição aos custos totais do Fórum</w:t>
            </w:r>
          </w:p>
        </w:tc>
        <w:tc>
          <w:tcPr>
            <w:tcW w:w="2893" w:type="dxa"/>
            <w:tcBorders>
              <w:top w:val="single" w:sz="2" w:space="0" w:color="000000"/>
              <w:left w:val="single" w:sz="2" w:space="0" w:color="000000"/>
              <w:bottom w:val="single" w:sz="6" w:space="0" w:color="000000"/>
              <w:right w:val="single" w:sz="2" w:space="0" w:color="000000"/>
            </w:tcBorders>
            <w:shd w:val="clear" w:color="auto" w:fill="004C7F"/>
            <w:tcMar>
              <w:top w:w="80" w:type="dxa"/>
              <w:left w:w="80" w:type="dxa"/>
              <w:bottom w:w="80" w:type="dxa"/>
              <w:right w:w="80" w:type="dxa"/>
            </w:tcMar>
          </w:tcPr>
          <w:p w14:paraId="26F74106" w14:textId="50F57BE0" w:rsidR="007F6BD4" w:rsidRPr="00932650" w:rsidRDefault="007F6BD4" w:rsidP="00A2337F">
            <w:pPr>
              <w:pStyle w:val="TableStyle3"/>
              <w:rPr>
                <w:rFonts w:ascii="Bookman Old Style" w:hAnsi="Bookman Old Style"/>
              </w:rPr>
            </w:pPr>
            <w:r>
              <w:rPr>
                <w:rFonts w:ascii="Bookman Old Style" w:hAnsi="Bookman Old Style"/>
              </w:rPr>
              <w:t>Riscos e observações</w:t>
            </w:r>
          </w:p>
        </w:tc>
      </w:tr>
      <w:tr w:rsidR="007F6BD4" w:rsidRPr="00055CFE" w14:paraId="301A93AA" w14:textId="77777777" w:rsidTr="00A2337F">
        <w:tblPrEx>
          <w:shd w:val="clear" w:color="auto" w:fill="FFFFFF"/>
        </w:tblPrEx>
        <w:trPr>
          <w:trHeight w:val="964"/>
        </w:trPr>
        <w:tc>
          <w:tcPr>
            <w:tcW w:w="2694" w:type="dxa"/>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1BA0F5" w14:textId="77777777" w:rsidR="007F6BD4" w:rsidRPr="00153A43" w:rsidRDefault="007F6BD4" w:rsidP="00A2337F">
            <w:pPr>
              <w:pStyle w:val="TableStyle2"/>
              <w:rPr>
                <w:rFonts w:ascii="Bookman Old Style" w:hAnsi="Bookman Old Style"/>
                <w:sz w:val="18"/>
                <w:szCs w:val="18"/>
              </w:rPr>
            </w:pPr>
            <w:r>
              <w:rPr>
                <w:rFonts w:ascii="Bookman Old Style" w:hAnsi="Bookman Old Style"/>
                <w:b/>
                <w:sz w:val="18"/>
              </w:rPr>
              <w:t xml:space="preserve">Contribuições anuais pagas pelos parlamentos membros </w:t>
            </w:r>
          </w:p>
        </w:tc>
        <w:tc>
          <w:tcPr>
            <w:tcW w:w="2408" w:type="dxa"/>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FA9845" w14:textId="77777777" w:rsidR="007F6BD4" w:rsidRPr="00153A43" w:rsidRDefault="007F6BD4" w:rsidP="00A2337F">
            <w:pPr>
              <w:pStyle w:val="TableStyle2"/>
              <w:rPr>
                <w:rFonts w:ascii="Bookman Old Style" w:hAnsi="Bookman Old Style"/>
                <w:sz w:val="18"/>
                <w:szCs w:val="18"/>
              </w:rPr>
            </w:pPr>
            <w:r>
              <w:rPr>
                <w:rFonts w:ascii="Bookman Old Style" w:hAnsi="Bookman Old Style"/>
                <w:sz w:val="18"/>
              </w:rPr>
              <w:t>Custos dos salários (2022/2023): 74%</w:t>
            </w:r>
          </w:p>
          <w:p w14:paraId="61B04A8F" w14:textId="77777777" w:rsidR="007F6BD4" w:rsidRPr="00153A43" w:rsidRDefault="007F6BD4" w:rsidP="00A2337F">
            <w:pPr>
              <w:pStyle w:val="TableStyle2"/>
              <w:rPr>
                <w:rFonts w:ascii="Bookman Old Style" w:hAnsi="Bookman Old Style"/>
                <w:sz w:val="18"/>
                <w:szCs w:val="18"/>
              </w:rPr>
            </w:pPr>
            <w:r>
              <w:rPr>
                <w:rFonts w:ascii="Bookman Old Style" w:hAnsi="Bookman Old Style"/>
                <w:sz w:val="18"/>
              </w:rPr>
              <w:t>Custos operacionais &amp; administrativos: 26%</w:t>
            </w:r>
          </w:p>
        </w:tc>
        <w:tc>
          <w:tcPr>
            <w:tcW w:w="1922" w:type="dxa"/>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3293255" w14:textId="77777777" w:rsidR="007F6BD4" w:rsidRPr="00153A43" w:rsidRDefault="007F6BD4" w:rsidP="00A2337F">
            <w:pPr>
              <w:pStyle w:val="TableStyle2"/>
              <w:rPr>
                <w:rFonts w:ascii="Bookman Old Style" w:hAnsi="Bookman Old Style"/>
                <w:sz w:val="18"/>
                <w:szCs w:val="18"/>
              </w:rPr>
            </w:pPr>
            <w:r>
              <w:rPr>
                <w:rFonts w:ascii="Bookman Old Style" w:hAnsi="Bookman Old Style"/>
                <w:sz w:val="18"/>
              </w:rPr>
              <w:t xml:space="preserve">43% </w:t>
            </w:r>
          </w:p>
        </w:tc>
        <w:tc>
          <w:tcPr>
            <w:tcW w:w="2893" w:type="dxa"/>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E7CAD50" w14:textId="6EA92AD7" w:rsidR="007F6BD4" w:rsidRPr="00153A43" w:rsidRDefault="007F6BD4" w:rsidP="00A2337F">
            <w:pPr>
              <w:pStyle w:val="TableStyle2"/>
              <w:jc w:val="both"/>
              <w:rPr>
                <w:rFonts w:ascii="Bookman Old Style" w:eastAsia="Arial Unicode MS" w:hAnsi="Bookman Old Style" w:cs="Arial Unicode MS"/>
                <w:sz w:val="18"/>
                <w:szCs w:val="18"/>
              </w:rPr>
            </w:pPr>
            <w:r>
              <w:rPr>
                <w:rFonts w:ascii="Bookman Old Style" w:hAnsi="Bookman Old Style"/>
                <w:sz w:val="18"/>
              </w:rPr>
              <w:t xml:space="preserve">Risco: Os parlamentos membros não vão aumentar as suas contribuições anuais. Até 2026, só a factura salarial </w:t>
            </w:r>
            <w:r w:rsidR="00D67FC4">
              <w:rPr>
                <w:rFonts w:ascii="Bookman Old Style" w:hAnsi="Bookman Old Style"/>
                <w:sz w:val="18"/>
              </w:rPr>
              <w:t>contará com</w:t>
            </w:r>
            <w:r>
              <w:rPr>
                <w:rFonts w:ascii="Bookman Old Style" w:hAnsi="Bookman Old Style"/>
                <w:sz w:val="18"/>
              </w:rPr>
              <w:t xml:space="preserve"> 99% das actuais contribuições pagas pelos membros.</w:t>
            </w:r>
          </w:p>
          <w:p w14:paraId="3011A603" w14:textId="77777777" w:rsidR="007F6BD4" w:rsidRPr="00153A43" w:rsidRDefault="007F6BD4" w:rsidP="00A2337F">
            <w:pPr>
              <w:pStyle w:val="TableStyle2"/>
              <w:jc w:val="both"/>
              <w:rPr>
                <w:rFonts w:ascii="Bookman Old Style" w:hAnsi="Bookman Old Style"/>
                <w:sz w:val="18"/>
                <w:szCs w:val="18"/>
              </w:rPr>
            </w:pPr>
            <w:r>
              <w:rPr>
                <w:rFonts w:ascii="Bookman Old Style" w:hAnsi="Bookman Old Style"/>
                <w:sz w:val="18"/>
              </w:rPr>
              <w:t xml:space="preserve"> </w:t>
            </w:r>
          </w:p>
        </w:tc>
      </w:tr>
      <w:tr w:rsidR="007F6BD4" w:rsidRPr="00055CFE" w14:paraId="3CC8D16B" w14:textId="77777777" w:rsidTr="00A2337F">
        <w:tblPrEx>
          <w:shd w:val="clear" w:color="auto" w:fill="FFFFFF"/>
        </w:tblPrEx>
        <w:trPr>
          <w:trHeight w:val="1201"/>
        </w:trPr>
        <w:tc>
          <w:tcPr>
            <w:tcW w:w="2694"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069F9AAE" w14:textId="77777777" w:rsidR="007F6BD4" w:rsidRPr="00055CFE" w:rsidRDefault="007F6BD4" w:rsidP="00A2337F">
            <w:pPr>
              <w:pStyle w:val="TableStyle2"/>
              <w:rPr>
                <w:rFonts w:ascii="Bookman Old Style" w:hAnsi="Bookman Old Style"/>
                <w:sz w:val="18"/>
                <w:szCs w:val="18"/>
              </w:rPr>
            </w:pPr>
            <w:r>
              <w:rPr>
                <w:rFonts w:ascii="Bookman Old Style" w:hAnsi="Bookman Old Style"/>
                <w:b/>
                <w:sz w:val="18"/>
              </w:rPr>
              <w:t xml:space="preserve">Financiamento da Suécia </w:t>
            </w:r>
          </w:p>
        </w:tc>
        <w:tc>
          <w:tcPr>
            <w:tcW w:w="2408"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3FDC859" w14:textId="77777777" w:rsidR="007F6BD4" w:rsidRPr="00055CFE" w:rsidRDefault="007F6BD4" w:rsidP="00A2337F">
            <w:pPr>
              <w:pStyle w:val="TableStyle2"/>
              <w:rPr>
                <w:rFonts w:ascii="Bookman Old Style" w:hAnsi="Bookman Old Style"/>
                <w:sz w:val="18"/>
                <w:szCs w:val="18"/>
              </w:rPr>
            </w:pPr>
            <w:r>
              <w:rPr>
                <w:rFonts w:ascii="Bookman Old Style" w:hAnsi="Bookman Old Style"/>
                <w:sz w:val="18"/>
              </w:rPr>
              <w:t xml:space="preserve">Contribui para os custos dos programas que incluem os salários de algum pessoal, os custos de deslocações, os custos de materiais e contribuições para custos administrativos/despesas gerais </w:t>
            </w:r>
          </w:p>
        </w:tc>
        <w:tc>
          <w:tcPr>
            <w:tcW w:w="1922"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29FBCE95" w14:textId="77777777" w:rsidR="007F6BD4" w:rsidRPr="00153A43" w:rsidRDefault="007F6BD4" w:rsidP="00A2337F">
            <w:pPr>
              <w:pStyle w:val="TableStyle2"/>
              <w:rPr>
                <w:rFonts w:ascii="Bookman Old Style" w:hAnsi="Bookman Old Style"/>
                <w:sz w:val="18"/>
                <w:szCs w:val="18"/>
              </w:rPr>
            </w:pPr>
            <w:r>
              <w:rPr>
                <w:rFonts w:ascii="Bookman Old Style" w:hAnsi="Bookman Old Style"/>
                <w:sz w:val="18"/>
              </w:rPr>
              <w:t xml:space="preserve">40% </w:t>
            </w:r>
          </w:p>
        </w:tc>
        <w:tc>
          <w:tcPr>
            <w:tcW w:w="2893"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C30F236" w14:textId="6A1C2D57" w:rsidR="007F6BD4" w:rsidRPr="00153A43" w:rsidRDefault="00932650" w:rsidP="00A2337F">
            <w:pPr>
              <w:pStyle w:val="TableStyle2"/>
              <w:rPr>
                <w:rFonts w:ascii="Bookman Old Style" w:hAnsi="Bookman Old Style"/>
                <w:sz w:val="18"/>
                <w:szCs w:val="18"/>
              </w:rPr>
            </w:pPr>
            <w:r>
              <w:rPr>
                <w:rFonts w:ascii="Bookman Old Style" w:hAnsi="Bookman Old Style"/>
                <w:sz w:val="18"/>
              </w:rPr>
              <w:t>Facto: O apoio do financiamento alavanca outras fontes de financiamento para alargar e aprofundar os impactos dos programas e das comissões do FP-SADC. O acordo chega ao seu termo em 31 Marco de 2023</w:t>
            </w:r>
          </w:p>
        </w:tc>
      </w:tr>
      <w:tr w:rsidR="007F6BD4" w:rsidRPr="00055CFE" w14:paraId="060F9CAE" w14:textId="77777777" w:rsidTr="00A2337F">
        <w:tblPrEx>
          <w:shd w:val="clear" w:color="auto" w:fill="FFFFFF"/>
        </w:tblPrEx>
        <w:trPr>
          <w:trHeight w:val="719"/>
        </w:trPr>
        <w:tc>
          <w:tcPr>
            <w:tcW w:w="26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16BA80" w14:textId="77777777" w:rsidR="007F6BD4" w:rsidRDefault="007F6BD4" w:rsidP="00A2337F">
            <w:pPr>
              <w:pStyle w:val="TableStyle2"/>
              <w:rPr>
                <w:rFonts w:ascii="Bookman Old Style" w:hAnsi="Bookman Old Style"/>
                <w:b/>
                <w:bCs/>
                <w:sz w:val="18"/>
                <w:szCs w:val="18"/>
              </w:rPr>
            </w:pPr>
            <w:r>
              <w:rPr>
                <w:rFonts w:ascii="Bookman Old Style" w:hAnsi="Bookman Old Style"/>
                <w:b/>
                <w:sz w:val="18"/>
              </w:rPr>
              <w:lastRenderedPageBreak/>
              <w:t>Acordo de Desenvolvimento da Ajuda da Áustria # 81254007 administrado pela GIZ</w:t>
            </w:r>
          </w:p>
          <w:p w14:paraId="25FDCF64" w14:textId="77777777" w:rsidR="007F6BD4" w:rsidRPr="00D7589B" w:rsidRDefault="007F6BD4" w:rsidP="00A2337F">
            <w:pPr>
              <w:pStyle w:val="TableStyle2"/>
              <w:rPr>
                <w:rFonts w:ascii="Bookman Old Style" w:hAnsi="Bookman Old Style"/>
                <w:b/>
                <w:bCs/>
                <w:sz w:val="18"/>
                <w:szCs w:val="18"/>
              </w:rPr>
            </w:pPr>
            <w:r>
              <w:rPr>
                <w:rFonts w:ascii="Bookman Old Style" w:hAnsi="Bookman Old Style"/>
                <w:b/>
                <w:sz w:val="18"/>
              </w:rPr>
              <w:t xml:space="preserve"> EUR 309.905</w:t>
            </w:r>
          </w:p>
        </w:tc>
        <w:tc>
          <w:tcPr>
            <w:tcW w:w="240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509F1CB" w14:textId="0B4B6B46" w:rsidR="007F6BD4" w:rsidRPr="00055CFE" w:rsidRDefault="007F6BD4" w:rsidP="00A2337F">
            <w:pPr>
              <w:pStyle w:val="TableStyle2"/>
              <w:rPr>
                <w:rFonts w:ascii="Bookman Old Style" w:hAnsi="Bookman Old Style"/>
                <w:sz w:val="18"/>
                <w:szCs w:val="18"/>
              </w:rPr>
            </w:pPr>
            <w:r>
              <w:rPr>
                <w:rFonts w:ascii="Bookman Old Style" w:hAnsi="Bookman Old Style"/>
                <w:sz w:val="18"/>
              </w:rPr>
              <w:t>Compensando os custos de consultorias para apoio técnico, tradução, interpretação, conferência, deslocações e alojamento nos programas de género e responsabilidade democrática</w:t>
            </w:r>
          </w:p>
        </w:tc>
        <w:tc>
          <w:tcPr>
            <w:tcW w:w="192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98DB0A5" w14:textId="77777777" w:rsidR="007F6BD4" w:rsidRPr="00055CFE" w:rsidRDefault="007F6BD4" w:rsidP="00A2337F">
            <w:pPr>
              <w:pStyle w:val="TableStyle2"/>
              <w:rPr>
                <w:rFonts w:ascii="Bookman Old Style" w:eastAsia="Arial Unicode MS" w:hAnsi="Bookman Old Style" w:cs="Arial Unicode MS"/>
                <w:sz w:val="18"/>
                <w:szCs w:val="18"/>
              </w:rPr>
            </w:pPr>
            <w:r>
              <w:rPr>
                <w:rFonts w:ascii="Bookman Old Style" w:hAnsi="Bookman Old Style"/>
                <w:sz w:val="18"/>
              </w:rPr>
              <w:t>11,5 %</w:t>
            </w:r>
          </w:p>
          <w:p w14:paraId="0BBE70C1" w14:textId="77777777" w:rsidR="007F6BD4" w:rsidRPr="00055CFE" w:rsidRDefault="007F6BD4" w:rsidP="00A2337F">
            <w:pPr>
              <w:pStyle w:val="TableStyle2"/>
              <w:rPr>
                <w:rFonts w:ascii="Bookman Old Style" w:hAnsi="Bookman Old Style"/>
                <w:sz w:val="18"/>
                <w:szCs w:val="18"/>
              </w:rPr>
            </w:pPr>
          </w:p>
        </w:tc>
        <w:tc>
          <w:tcPr>
            <w:tcW w:w="28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F8422E" w14:textId="788018BB" w:rsidR="007F6BD4" w:rsidRPr="00314A33" w:rsidRDefault="00314A33" w:rsidP="00A2337F">
            <w:pPr>
              <w:pStyle w:val="TableStyle2"/>
              <w:rPr>
                <w:rFonts w:ascii="Bookman Old Style" w:hAnsi="Bookman Old Style"/>
                <w:sz w:val="18"/>
                <w:szCs w:val="18"/>
              </w:rPr>
            </w:pPr>
            <w:r>
              <w:rPr>
                <w:rFonts w:ascii="Bookman Old Style" w:hAnsi="Bookman Old Style"/>
                <w:sz w:val="18"/>
              </w:rPr>
              <w:t xml:space="preserve">Facto: Este acordo de subvenção começou em 10 de Março de 2020 e expira em 31 de Dezembro de 2022. Neste momento não há nenhuma indicação de </w:t>
            </w:r>
            <w:r w:rsidR="00D67FC4">
              <w:rPr>
                <w:rFonts w:ascii="Bookman Old Style" w:hAnsi="Bookman Old Style"/>
                <w:sz w:val="18"/>
              </w:rPr>
              <w:t xml:space="preserve">que vai beneficiar de uma </w:t>
            </w:r>
            <w:r>
              <w:rPr>
                <w:rFonts w:ascii="Bookman Old Style" w:hAnsi="Bookman Old Style"/>
                <w:sz w:val="18"/>
              </w:rPr>
              <w:t>extensão.</w:t>
            </w:r>
          </w:p>
        </w:tc>
      </w:tr>
      <w:tr w:rsidR="007F6BD4" w:rsidRPr="00055CFE" w14:paraId="0B43669A" w14:textId="77777777" w:rsidTr="00A2337F">
        <w:tblPrEx>
          <w:shd w:val="clear" w:color="auto" w:fill="FFFFFF"/>
        </w:tblPrEx>
        <w:trPr>
          <w:trHeight w:val="1001"/>
        </w:trPr>
        <w:tc>
          <w:tcPr>
            <w:tcW w:w="2694"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1FFA7B02" w14:textId="77777777" w:rsidR="007F6BD4" w:rsidRPr="00055CFE" w:rsidRDefault="007F6BD4" w:rsidP="00A2337F">
            <w:pPr>
              <w:pStyle w:val="TableStyle2"/>
              <w:rPr>
                <w:rFonts w:ascii="Bookman Old Style" w:hAnsi="Bookman Old Style"/>
                <w:sz w:val="18"/>
                <w:szCs w:val="18"/>
              </w:rPr>
            </w:pPr>
            <w:r>
              <w:rPr>
                <w:rFonts w:ascii="Bookman Old Style" w:hAnsi="Bookman Old Style"/>
                <w:b/>
                <w:sz w:val="18"/>
              </w:rPr>
              <w:t xml:space="preserve">Parlamentos nacionais </w:t>
            </w:r>
          </w:p>
        </w:tc>
        <w:tc>
          <w:tcPr>
            <w:tcW w:w="2408"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674DAD41" w14:textId="260E37B4" w:rsidR="007F6BD4" w:rsidRPr="00055CFE" w:rsidRDefault="007F6BD4" w:rsidP="00A2337F">
            <w:pPr>
              <w:pStyle w:val="TableStyle2"/>
              <w:rPr>
                <w:rFonts w:ascii="Bookman Old Style" w:hAnsi="Bookman Old Style"/>
                <w:sz w:val="18"/>
                <w:szCs w:val="18"/>
              </w:rPr>
            </w:pPr>
            <w:r>
              <w:rPr>
                <w:rFonts w:ascii="Bookman Old Style" w:hAnsi="Bookman Old Style"/>
                <w:sz w:val="18"/>
              </w:rPr>
              <w:t xml:space="preserve">Custos de viagens e alojamento com referência à observação eleitoral e participação em outras actividades do Fórum. Participação em outras actividades </w:t>
            </w:r>
            <w:r w:rsidR="00D67FC4">
              <w:rPr>
                <w:rFonts w:ascii="Bookman Old Style" w:hAnsi="Bookman Old Style"/>
                <w:sz w:val="18"/>
              </w:rPr>
              <w:t>d</w:t>
            </w:r>
            <w:r>
              <w:rPr>
                <w:rFonts w:ascii="Bookman Old Style" w:hAnsi="Bookman Old Style"/>
                <w:sz w:val="18"/>
              </w:rPr>
              <w:t>o âmbito da Assembleia Plenária subvencionadas ou patrocinadas na totalidade pelos parlamentos nacionais</w:t>
            </w:r>
          </w:p>
          <w:p w14:paraId="29FC72ED" w14:textId="77777777" w:rsidR="007F6BD4" w:rsidRPr="00197867" w:rsidRDefault="007F6BD4" w:rsidP="00A2337F">
            <w:pPr>
              <w:pStyle w:val="TableStyle2"/>
              <w:rPr>
                <w:rFonts w:ascii="Bookman Old Style" w:hAnsi="Bookman Old Style"/>
                <w:sz w:val="18"/>
                <w:szCs w:val="18"/>
              </w:rPr>
            </w:pPr>
          </w:p>
          <w:p w14:paraId="54D1BF8B" w14:textId="77777777" w:rsidR="007F6BD4" w:rsidRPr="00055CFE" w:rsidRDefault="007F6BD4" w:rsidP="00A2337F">
            <w:pPr>
              <w:pStyle w:val="TableStyle2"/>
              <w:rPr>
                <w:rFonts w:ascii="Bookman Old Style" w:hAnsi="Bookman Old Style"/>
                <w:sz w:val="18"/>
                <w:szCs w:val="18"/>
              </w:rPr>
            </w:pPr>
            <w:r>
              <w:rPr>
                <w:rFonts w:ascii="Bookman Old Style" w:hAnsi="Bookman Old Style"/>
                <w:sz w:val="18"/>
              </w:rPr>
              <w:t>Funcionários cedidos em destacamento</w:t>
            </w:r>
          </w:p>
          <w:p w14:paraId="0DAE2259" w14:textId="77777777" w:rsidR="007F6BD4" w:rsidRPr="00055CFE" w:rsidRDefault="007F6BD4" w:rsidP="00A2337F">
            <w:pPr>
              <w:pStyle w:val="TableStyle2"/>
              <w:rPr>
                <w:rFonts w:ascii="Bookman Old Style" w:hAnsi="Bookman Old Style"/>
                <w:sz w:val="18"/>
                <w:szCs w:val="18"/>
              </w:rPr>
            </w:pPr>
          </w:p>
          <w:p w14:paraId="6C68648E" w14:textId="77777777" w:rsidR="007F6BD4" w:rsidRPr="00055CFE" w:rsidRDefault="007F6BD4" w:rsidP="00A2337F">
            <w:pPr>
              <w:pStyle w:val="TableStyle2"/>
              <w:rPr>
                <w:rFonts w:ascii="Bookman Old Style" w:hAnsi="Bookman Old Style"/>
                <w:sz w:val="18"/>
                <w:szCs w:val="18"/>
              </w:rPr>
            </w:pPr>
          </w:p>
        </w:tc>
        <w:tc>
          <w:tcPr>
            <w:tcW w:w="1922"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7BE68C93" w14:textId="77777777" w:rsidR="007F6BD4" w:rsidRPr="00055CFE" w:rsidRDefault="007F6BD4" w:rsidP="00A2337F">
            <w:pPr>
              <w:pStyle w:val="TableStyle2"/>
              <w:rPr>
                <w:rFonts w:ascii="Bookman Old Style" w:hAnsi="Bookman Old Style"/>
                <w:sz w:val="18"/>
                <w:szCs w:val="18"/>
              </w:rPr>
            </w:pPr>
            <w:r>
              <w:rPr>
                <w:rFonts w:ascii="Bookman Old Style" w:hAnsi="Bookman Old Style"/>
                <w:sz w:val="18"/>
              </w:rPr>
              <w:t>Em espécie</w:t>
            </w:r>
          </w:p>
        </w:tc>
        <w:tc>
          <w:tcPr>
            <w:tcW w:w="2893"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56ABE04F" w14:textId="2AC12DE2" w:rsidR="007F6BD4" w:rsidRPr="00055CFE" w:rsidRDefault="007F6BD4" w:rsidP="00A2337F">
            <w:pPr>
              <w:rPr>
                <w:rFonts w:ascii="Bookman Old Style" w:hAnsi="Bookman Old Style"/>
                <w:sz w:val="18"/>
                <w:szCs w:val="18"/>
              </w:rPr>
            </w:pPr>
            <w:r>
              <w:rPr>
                <w:rFonts w:ascii="Bookman Old Style" w:hAnsi="Bookman Old Style"/>
                <w:sz w:val="18"/>
              </w:rPr>
              <w:t xml:space="preserve">É uma prática os parlamentos nacionais </w:t>
            </w:r>
            <w:r w:rsidR="00D67FC4">
              <w:rPr>
                <w:rFonts w:ascii="Bookman Old Style" w:hAnsi="Bookman Old Style"/>
                <w:sz w:val="18"/>
              </w:rPr>
              <w:t>contribuírem</w:t>
            </w:r>
            <w:r>
              <w:rPr>
                <w:rFonts w:ascii="Bookman Old Style" w:hAnsi="Bookman Old Style"/>
                <w:sz w:val="18"/>
              </w:rPr>
              <w:t xml:space="preserve"> para a sua deslocação e alojamento </w:t>
            </w:r>
            <w:r w:rsidR="00D67FC4">
              <w:rPr>
                <w:rFonts w:ascii="Bookman Old Style" w:hAnsi="Bookman Old Style"/>
                <w:sz w:val="18"/>
              </w:rPr>
              <w:t>durante</w:t>
            </w:r>
            <w:r>
              <w:rPr>
                <w:rFonts w:ascii="Bookman Old Style" w:hAnsi="Bookman Old Style"/>
                <w:sz w:val="18"/>
              </w:rPr>
              <w:t xml:space="preserve"> a Comissão Executiva e a Assembleia Plenária. Não há, no entanto, nenhum fundo de contingência, para permitir que os deputados, sobretudo os titulares de cargos de liderança, se desloquem para eventos em caso de, por razões internas, não ser possível que os seus respectivos parlamentos nacionais os patrocinem. </w:t>
            </w:r>
          </w:p>
          <w:p w14:paraId="1AC908C0" w14:textId="66BC4AD5" w:rsidR="007F6BD4" w:rsidRDefault="007F6BD4" w:rsidP="00A2337F">
            <w:pPr>
              <w:rPr>
                <w:rFonts w:ascii="Bookman Old Style" w:hAnsi="Bookman Old Style"/>
                <w:sz w:val="18"/>
                <w:szCs w:val="18"/>
              </w:rPr>
            </w:pPr>
            <w:r>
              <w:rPr>
                <w:rFonts w:ascii="Bookman Old Style" w:hAnsi="Bookman Old Style"/>
                <w:sz w:val="18"/>
              </w:rPr>
              <w:t>Isto coloca também uma restrição sobre o Fórum para realizar reuni</w:t>
            </w:r>
            <w:r w:rsidR="00D67FC4">
              <w:rPr>
                <w:rFonts w:ascii="Bookman Old Style" w:hAnsi="Bookman Old Style"/>
                <w:sz w:val="18"/>
              </w:rPr>
              <w:t>ões</w:t>
            </w:r>
            <w:r>
              <w:rPr>
                <w:rFonts w:ascii="Bookman Old Style" w:hAnsi="Bookman Old Style"/>
                <w:sz w:val="18"/>
              </w:rPr>
              <w:t xml:space="preserve"> extraordinária</w:t>
            </w:r>
            <w:r w:rsidR="00D67FC4">
              <w:rPr>
                <w:rFonts w:ascii="Bookman Old Style" w:hAnsi="Bookman Old Style"/>
                <w:sz w:val="18"/>
              </w:rPr>
              <w:t>s</w:t>
            </w:r>
            <w:r>
              <w:rPr>
                <w:rFonts w:ascii="Bookman Old Style" w:hAnsi="Bookman Old Style"/>
                <w:sz w:val="18"/>
              </w:rPr>
              <w:t>, uma vez que isto vai necessitar de fundos adicionais por parte dos parlamentos nacionais.</w:t>
            </w:r>
          </w:p>
          <w:p w14:paraId="2D615D42" w14:textId="77777777" w:rsidR="007F6BD4" w:rsidRPr="00055CFE" w:rsidRDefault="007F6BD4" w:rsidP="00A2337F">
            <w:pPr>
              <w:rPr>
                <w:rFonts w:ascii="Bookman Old Style" w:hAnsi="Bookman Old Style"/>
                <w:sz w:val="18"/>
                <w:szCs w:val="18"/>
              </w:rPr>
            </w:pPr>
            <w:r>
              <w:rPr>
                <w:rFonts w:ascii="Bookman Old Style" w:hAnsi="Bookman Old Style"/>
                <w:sz w:val="18"/>
              </w:rPr>
              <w:t>Daqui para a frente, na ausência de financiamento concedido por doadores, os parlamentos terão de suportar também os custos da participação dos seus respectivos membros nas reuniões das comissões permanentes. Isto vai afectar negativamente a participação e podemos ter de recorrer a reuniões e uma participação virtuais.</w:t>
            </w:r>
          </w:p>
        </w:tc>
      </w:tr>
      <w:tr w:rsidR="007F6BD4" w:rsidRPr="00055CFE" w14:paraId="289C496F" w14:textId="77777777" w:rsidTr="00A2337F">
        <w:tblPrEx>
          <w:shd w:val="clear" w:color="auto" w:fill="FFFFFF"/>
        </w:tblPrEx>
        <w:trPr>
          <w:trHeight w:val="719"/>
        </w:trPr>
        <w:tc>
          <w:tcPr>
            <w:tcW w:w="26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3C3C935" w14:textId="77777777" w:rsidR="007F6BD4" w:rsidRPr="00055CFE" w:rsidRDefault="007F6BD4" w:rsidP="00A2337F">
            <w:pPr>
              <w:pStyle w:val="TableStyle2"/>
              <w:rPr>
                <w:rFonts w:ascii="Bookman Old Style" w:hAnsi="Bookman Old Style"/>
                <w:b/>
                <w:bCs/>
                <w:sz w:val="18"/>
                <w:szCs w:val="18"/>
              </w:rPr>
            </w:pPr>
            <w:r>
              <w:rPr>
                <w:rFonts w:ascii="Bookman Old Style" w:hAnsi="Bookman Old Style"/>
                <w:b/>
                <w:sz w:val="18"/>
              </w:rPr>
              <w:t xml:space="preserve">Reforço da responsabilização e da fiscalização na saúde e financiadores da agricultura – apoio dos doadores a programas específicos </w:t>
            </w:r>
          </w:p>
          <w:p w14:paraId="790AD6FC" w14:textId="608FC7CF" w:rsidR="007F6BD4" w:rsidRPr="00055CFE" w:rsidRDefault="007F6BD4" w:rsidP="00A2337F">
            <w:pPr>
              <w:pStyle w:val="TableStyle2"/>
              <w:rPr>
                <w:rFonts w:ascii="Bookman Old Style" w:hAnsi="Bookman Old Style"/>
                <w:sz w:val="18"/>
                <w:szCs w:val="18"/>
              </w:rPr>
            </w:pPr>
            <w:r>
              <w:rPr>
                <w:rFonts w:ascii="Bookman Old Style" w:hAnsi="Bookman Old Style"/>
                <w:b/>
                <w:bCs/>
                <w:sz w:val="18"/>
              </w:rPr>
              <w:t>ActionAid</w:t>
            </w:r>
            <w:r>
              <w:rPr>
                <w:rFonts w:ascii="Bookman Old Style" w:hAnsi="Bookman Old Style"/>
                <w:sz w:val="18"/>
              </w:rPr>
              <w:t xml:space="preserve"> (USD 158,19 [utilizados USD67.00,34</w:t>
            </w:r>
            <w:r w:rsidR="00D67FC4">
              <w:rPr>
                <w:rFonts w:ascii="Bookman Old Style" w:hAnsi="Bookman Old Style"/>
                <w:sz w:val="18"/>
              </w:rPr>
              <w:t>]</w:t>
            </w:r>
            <w:r>
              <w:rPr>
                <w:rFonts w:ascii="Bookman Old Style" w:hAnsi="Bookman Old Style"/>
                <w:sz w:val="18"/>
              </w:rPr>
              <w:t>)</w:t>
            </w:r>
          </w:p>
        </w:tc>
        <w:tc>
          <w:tcPr>
            <w:tcW w:w="240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E66E7E" w14:textId="77777777" w:rsidR="007F6BD4" w:rsidRPr="00055CFE" w:rsidRDefault="007F6BD4" w:rsidP="00A2337F">
            <w:pPr>
              <w:pStyle w:val="TableStyle2"/>
              <w:rPr>
                <w:rFonts w:ascii="Bookman Old Style" w:hAnsi="Bookman Old Style"/>
                <w:b/>
                <w:bCs/>
                <w:sz w:val="18"/>
                <w:szCs w:val="18"/>
              </w:rPr>
            </w:pPr>
            <w:r>
              <w:rPr>
                <w:rFonts w:ascii="Bookman Old Style" w:hAnsi="Bookman Old Style"/>
                <w:b/>
                <w:sz w:val="18"/>
              </w:rPr>
              <w:t xml:space="preserve">Recursos prometidos </w:t>
            </w:r>
          </w:p>
          <w:p w14:paraId="3629B5CF" w14:textId="77777777" w:rsidR="007F6BD4" w:rsidRPr="00055CFE" w:rsidRDefault="007F6BD4" w:rsidP="00A2337F">
            <w:pPr>
              <w:pStyle w:val="TableStyle2"/>
              <w:rPr>
                <w:rFonts w:ascii="Bookman Old Style" w:hAnsi="Bookman Old Style"/>
                <w:b/>
                <w:bCs/>
                <w:sz w:val="18"/>
                <w:szCs w:val="18"/>
              </w:rPr>
            </w:pPr>
          </w:p>
          <w:p w14:paraId="79309E76" w14:textId="77777777" w:rsidR="007F6BD4" w:rsidRPr="00055CFE" w:rsidRDefault="007F6BD4" w:rsidP="00A2337F">
            <w:pPr>
              <w:pStyle w:val="TableStyle2"/>
              <w:rPr>
                <w:rFonts w:ascii="Bookman Old Style" w:hAnsi="Bookman Old Style"/>
                <w:sz w:val="18"/>
                <w:szCs w:val="18"/>
                <w:lang w:val="en-US"/>
              </w:rPr>
            </w:pPr>
          </w:p>
        </w:tc>
        <w:tc>
          <w:tcPr>
            <w:tcW w:w="192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93C1405" w14:textId="77777777" w:rsidR="007F6BD4" w:rsidRDefault="007F6BD4" w:rsidP="00A2337F">
            <w:pPr>
              <w:pBdr>
                <w:top w:val="nil"/>
                <w:left w:val="nil"/>
                <w:bottom w:val="nil"/>
                <w:right w:val="nil"/>
                <w:between w:val="nil"/>
                <w:bar w:val="nil"/>
              </w:pBdr>
              <w:jc w:val="both"/>
              <w:rPr>
                <w:rFonts w:ascii="Bookman Old Style" w:hAnsi="Bookman Old Style"/>
                <w:sz w:val="18"/>
                <w:szCs w:val="18"/>
              </w:rPr>
            </w:pPr>
          </w:p>
          <w:p w14:paraId="70D8E718" w14:textId="77777777" w:rsidR="007F6BD4" w:rsidRPr="00055CFE" w:rsidRDefault="007F6BD4" w:rsidP="00A2337F">
            <w:pPr>
              <w:pBdr>
                <w:top w:val="nil"/>
                <w:left w:val="nil"/>
                <w:bottom w:val="nil"/>
                <w:right w:val="nil"/>
                <w:between w:val="nil"/>
                <w:bar w:val="nil"/>
              </w:pBdr>
              <w:jc w:val="center"/>
              <w:rPr>
                <w:rFonts w:ascii="Bookman Old Style" w:hAnsi="Bookman Old Style"/>
                <w:sz w:val="18"/>
                <w:szCs w:val="18"/>
              </w:rPr>
            </w:pPr>
            <w:r>
              <w:rPr>
                <w:rFonts w:ascii="Bookman Old Style" w:hAnsi="Bookman Old Style"/>
                <w:sz w:val="18"/>
              </w:rPr>
              <w:t>2,5%</w:t>
            </w:r>
          </w:p>
        </w:tc>
        <w:tc>
          <w:tcPr>
            <w:tcW w:w="28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C267768" w14:textId="77777777" w:rsidR="007F6BD4" w:rsidRPr="00055CFE" w:rsidRDefault="007F6BD4" w:rsidP="00A2337F">
            <w:pPr>
              <w:pBdr>
                <w:top w:val="nil"/>
                <w:left w:val="nil"/>
                <w:bottom w:val="nil"/>
                <w:right w:val="nil"/>
                <w:between w:val="nil"/>
                <w:bar w:val="nil"/>
              </w:pBdr>
              <w:jc w:val="both"/>
              <w:rPr>
                <w:rFonts w:ascii="Bookman Old Style" w:hAnsi="Bookman Old Style"/>
                <w:sz w:val="18"/>
                <w:szCs w:val="18"/>
              </w:rPr>
            </w:pPr>
            <w:r>
              <w:rPr>
                <w:rFonts w:ascii="Bookman Old Style" w:hAnsi="Bookman Old Style"/>
                <w:sz w:val="18"/>
              </w:rPr>
              <w:t>Esta subvenção opera através de um mecanismo de recebimento de fundos conforme se vai gastando.</w:t>
            </w:r>
          </w:p>
          <w:p w14:paraId="7ABFBC00" w14:textId="09F032BD" w:rsidR="007F6BD4" w:rsidRPr="000D1FDA" w:rsidRDefault="000D1FDA" w:rsidP="00A2337F">
            <w:pPr>
              <w:pBdr>
                <w:top w:val="nil"/>
                <w:left w:val="nil"/>
                <w:bottom w:val="nil"/>
                <w:right w:val="nil"/>
                <w:between w:val="nil"/>
                <w:bar w:val="nil"/>
              </w:pBdr>
              <w:jc w:val="both"/>
              <w:rPr>
                <w:rFonts w:ascii="Bookman Old Style" w:hAnsi="Bookman Old Style"/>
                <w:sz w:val="18"/>
                <w:szCs w:val="18"/>
              </w:rPr>
            </w:pPr>
            <w:r>
              <w:rPr>
                <w:rFonts w:ascii="Bookman Old Style" w:hAnsi="Bookman Old Style"/>
                <w:sz w:val="18"/>
              </w:rPr>
              <w:t>O período de Agosto de 2019 a Junho de 2023 sem indicação de extensão.</w:t>
            </w:r>
          </w:p>
        </w:tc>
      </w:tr>
      <w:tr w:rsidR="007F6BD4" w:rsidRPr="00055CFE" w14:paraId="53D6B458" w14:textId="77777777" w:rsidTr="00A2337F">
        <w:tblPrEx>
          <w:shd w:val="clear" w:color="auto" w:fill="FFFFFF"/>
        </w:tblPrEx>
        <w:trPr>
          <w:trHeight w:val="801"/>
        </w:trPr>
        <w:tc>
          <w:tcPr>
            <w:tcW w:w="2694"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0EB9DD80" w14:textId="06F148C3" w:rsidR="007F6BD4" w:rsidRPr="00055CFE" w:rsidRDefault="007F6BD4" w:rsidP="00A2337F">
            <w:pPr>
              <w:pStyle w:val="TableStyle2"/>
              <w:rPr>
                <w:rFonts w:ascii="Bookman Old Style" w:hAnsi="Bookman Old Style"/>
                <w:sz w:val="18"/>
                <w:szCs w:val="18"/>
              </w:rPr>
            </w:pPr>
            <w:r>
              <w:rPr>
                <w:rFonts w:ascii="Bookman Old Style" w:hAnsi="Bookman Old Style"/>
                <w:b/>
                <w:sz w:val="18"/>
              </w:rPr>
              <w:lastRenderedPageBreak/>
              <w:t xml:space="preserve">Modalidades de cofinanciamento com as organizações da sociedade civil e outras instituições </w:t>
            </w:r>
          </w:p>
        </w:tc>
        <w:tc>
          <w:tcPr>
            <w:tcW w:w="2408"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0B73377E" w14:textId="77777777" w:rsidR="007F6BD4" w:rsidRPr="00055CFE" w:rsidRDefault="007F6BD4" w:rsidP="00A2337F">
            <w:pPr>
              <w:pStyle w:val="TableStyle2"/>
              <w:rPr>
                <w:rFonts w:ascii="Bookman Old Style" w:hAnsi="Bookman Old Style"/>
                <w:sz w:val="18"/>
                <w:szCs w:val="18"/>
              </w:rPr>
            </w:pPr>
            <w:r>
              <w:rPr>
                <w:rFonts w:ascii="Bookman Old Style" w:hAnsi="Bookman Old Style"/>
                <w:sz w:val="18"/>
              </w:rPr>
              <w:t xml:space="preserve">Contribuições conjuntas para a entrega de produtos, facilitação de acções de formação sem custo para o Fórum e os outros </w:t>
            </w:r>
          </w:p>
        </w:tc>
        <w:tc>
          <w:tcPr>
            <w:tcW w:w="1922"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5E2494E5" w14:textId="77777777" w:rsidR="007F6BD4" w:rsidRPr="00C37A74" w:rsidRDefault="007F6BD4" w:rsidP="00A2337F">
            <w:pPr>
              <w:pStyle w:val="TableStyle2"/>
              <w:rPr>
                <w:rFonts w:ascii="Bookman Old Style" w:hAnsi="Bookman Old Style"/>
                <w:sz w:val="18"/>
                <w:szCs w:val="18"/>
              </w:rPr>
            </w:pPr>
            <w:r>
              <w:rPr>
                <w:rFonts w:ascii="Bookman Old Style" w:hAnsi="Bookman Old Style"/>
                <w:sz w:val="18"/>
              </w:rPr>
              <w:t>1%</w:t>
            </w:r>
          </w:p>
        </w:tc>
        <w:tc>
          <w:tcPr>
            <w:tcW w:w="2893"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C70F0E7" w14:textId="77777777" w:rsidR="007F6BD4" w:rsidRPr="00055CFE" w:rsidRDefault="007F6BD4" w:rsidP="00A2337F">
            <w:pPr>
              <w:jc w:val="both"/>
              <w:rPr>
                <w:rFonts w:ascii="Bookman Old Style" w:hAnsi="Bookman Old Style"/>
                <w:sz w:val="18"/>
                <w:szCs w:val="18"/>
              </w:rPr>
            </w:pPr>
            <w:r>
              <w:rPr>
                <w:rFonts w:ascii="Bookman Old Style" w:hAnsi="Bookman Old Style"/>
                <w:sz w:val="18"/>
              </w:rPr>
              <w:t xml:space="preserve">Pressuposto: As organizações da sociedade civil pressupõem que o Fórum contribui para alguma logística ao abrigo de iniciativas conjuntas; no entanto, isto muitas vezes não é possível uma vez que tais iniciativas espontâneas não são previstas no orçamento. </w:t>
            </w:r>
          </w:p>
        </w:tc>
      </w:tr>
      <w:tr w:rsidR="007F6BD4" w:rsidRPr="00055CFE" w14:paraId="5788EDA6" w14:textId="77777777" w:rsidTr="00A2337F">
        <w:tblPrEx>
          <w:shd w:val="clear" w:color="auto" w:fill="FFFFFF"/>
        </w:tblPrEx>
        <w:trPr>
          <w:trHeight w:val="1001"/>
        </w:trPr>
        <w:tc>
          <w:tcPr>
            <w:tcW w:w="269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D1796B" w14:textId="77777777" w:rsidR="007F6BD4" w:rsidRPr="00055CFE" w:rsidRDefault="007F6BD4" w:rsidP="00A2337F">
            <w:pPr>
              <w:pStyle w:val="TableStyle2"/>
              <w:rPr>
                <w:rFonts w:ascii="Bookman Old Style" w:hAnsi="Bookman Old Style"/>
                <w:sz w:val="18"/>
                <w:szCs w:val="18"/>
              </w:rPr>
            </w:pPr>
            <w:r>
              <w:rPr>
                <w:rFonts w:ascii="Bookman Old Style" w:hAnsi="Bookman Old Style"/>
                <w:b/>
                <w:sz w:val="18"/>
              </w:rPr>
              <w:t xml:space="preserve">Destacamentos </w:t>
            </w:r>
          </w:p>
        </w:tc>
        <w:tc>
          <w:tcPr>
            <w:tcW w:w="240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52BFBD3" w14:textId="017387E7" w:rsidR="007F6BD4" w:rsidRPr="00055CFE" w:rsidRDefault="007F6BD4" w:rsidP="00A2337F">
            <w:pPr>
              <w:pStyle w:val="TableStyle2"/>
              <w:rPr>
                <w:rFonts w:ascii="Bookman Old Style" w:hAnsi="Bookman Old Style"/>
                <w:sz w:val="18"/>
                <w:szCs w:val="18"/>
              </w:rPr>
            </w:pPr>
            <w:r>
              <w:rPr>
                <w:rFonts w:ascii="Bookman Old Style" w:hAnsi="Bookman Old Style"/>
                <w:sz w:val="18"/>
              </w:rPr>
              <w:t>Tem a ver com o custo total de funcionários a tempo inteiro ao Fórum que é compensado por um parlamento membro. Exemplo d</w:t>
            </w:r>
            <w:r w:rsidR="00D67FC4">
              <w:rPr>
                <w:rFonts w:ascii="Bookman Old Style" w:hAnsi="Bookman Old Style"/>
                <w:sz w:val="18"/>
              </w:rPr>
              <w:t>o</w:t>
            </w:r>
            <w:r>
              <w:rPr>
                <w:rFonts w:ascii="Bookman Old Style" w:hAnsi="Bookman Old Style"/>
                <w:sz w:val="18"/>
              </w:rPr>
              <w:t xml:space="preserve"> auditor interno pago pelo Parlamento da Namíbia ou de Moçambique </w:t>
            </w:r>
          </w:p>
        </w:tc>
        <w:tc>
          <w:tcPr>
            <w:tcW w:w="192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368B488" w14:textId="77777777" w:rsidR="007F6BD4" w:rsidRPr="00055CFE" w:rsidRDefault="007F6BD4" w:rsidP="00A2337F">
            <w:pPr>
              <w:pStyle w:val="TableStyle2"/>
              <w:rPr>
                <w:rFonts w:ascii="Bookman Old Style" w:hAnsi="Bookman Old Style"/>
                <w:sz w:val="18"/>
                <w:szCs w:val="18"/>
              </w:rPr>
            </w:pPr>
            <w:r>
              <w:rPr>
                <w:rFonts w:ascii="Bookman Old Style" w:hAnsi="Bookman Old Style"/>
                <w:sz w:val="18"/>
              </w:rPr>
              <w:t>2%</w:t>
            </w:r>
          </w:p>
        </w:tc>
        <w:tc>
          <w:tcPr>
            <w:tcW w:w="28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2E28804" w14:textId="6072DFC0" w:rsidR="007F6BD4" w:rsidRPr="00055CFE" w:rsidRDefault="007F6BD4" w:rsidP="00A2337F">
            <w:pPr>
              <w:rPr>
                <w:rFonts w:ascii="Bookman Old Style" w:hAnsi="Bookman Old Style"/>
                <w:sz w:val="18"/>
                <w:szCs w:val="18"/>
              </w:rPr>
            </w:pPr>
            <w:r>
              <w:rPr>
                <w:rFonts w:ascii="Bookman Old Style" w:hAnsi="Bookman Old Style"/>
                <w:sz w:val="18"/>
              </w:rPr>
              <w:t xml:space="preserve">Risco: Os destacamentos em tempo parcial </w:t>
            </w:r>
            <w:r w:rsidR="00D67FC4">
              <w:rPr>
                <w:rFonts w:ascii="Bookman Old Style" w:hAnsi="Bookman Old Style"/>
                <w:sz w:val="18"/>
              </w:rPr>
              <w:t>revel</w:t>
            </w:r>
            <w:r>
              <w:rPr>
                <w:rFonts w:ascii="Bookman Old Style" w:hAnsi="Bookman Old Style"/>
                <w:sz w:val="18"/>
              </w:rPr>
              <w:t>aram-se praticamente ineficazes, uma vez que o volume de trabalho a nível nacional fica muito em competição com o trabalho do Fórum.</w:t>
            </w:r>
          </w:p>
        </w:tc>
      </w:tr>
      <w:tr w:rsidR="007F6BD4" w:rsidRPr="00055CFE" w14:paraId="49F21584" w14:textId="77777777" w:rsidTr="00A2337F">
        <w:tblPrEx>
          <w:shd w:val="clear" w:color="auto" w:fill="FFFFFF"/>
        </w:tblPrEx>
        <w:trPr>
          <w:trHeight w:val="295"/>
        </w:trPr>
        <w:tc>
          <w:tcPr>
            <w:tcW w:w="2694"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B11DE3C" w14:textId="77777777" w:rsidR="007F6BD4" w:rsidRPr="00055CFE" w:rsidRDefault="007F6BD4" w:rsidP="00A2337F">
            <w:pPr>
              <w:rPr>
                <w:rFonts w:ascii="Bookman Old Style" w:hAnsi="Bookman Old Style"/>
                <w:sz w:val="18"/>
                <w:szCs w:val="18"/>
              </w:rPr>
            </w:pPr>
          </w:p>
        </w:tc>
        <w:tc>
          <w:tcPr>
            <w:tcW w:w="2408"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378770F9" w14:textId="77777777" w:rsidR="007F6BD4" w:rsidRPr="00055CFE" w:rsidRDefault="007F6BD4" w:rsidP="00A2337F">
            <w:pPr>
              <w:rPr>
                <w:rFonts w:ascii="Bookman Old Style" w:hAnsi="Bookman Old Style"/>
                <w:sz w:val="18"/>
                <w:szCs w:val="18"/>
              </w:rPr>
            </w:pPr>
          </w:p>
        </w:tc>
        <w:tc>
          <w:tcPr>
            <w:tcW w:w="1922"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6205DDBE" w14:textId="77777777" w:rsidR="007F6BD4" w:rsidRPr="00055CFE" w:rsidRDefault="007F6BD4" w:rsidP="00A2337F">
            <w:pPr>
              <w:pStyle w:val="TableStyle2"/>
              <w:rPr>
                <w:rFonts w:ascii="Bookman Old Style" w:hAnsi="Bookman Old Style"/>
                <w:sz w:val="18"/>
                <w:szCs w:val="18"/>
              </w:rPr>
            </w:pPr>
            <w:r>
              <w:rPr>
                <w:rFonts w:ascii="Bookman Old Style" w:hAnsi="Bookman Old Style"/>
                <w:sz w:val="18"/>
              </w:rPr>
              <w:t>100%</w:t>
            </w:r>
          </w:p>
        </w:tc>
        <w:tc>
          <w:tcPr>
            <w:tcW w:w="2893" w:type="dxa"/>
            <w:tcBorders>
              <w:top w:val="single" w:sz="2" w:space="0" w:color="000000"/>
              <w:left w:val="single" w:sz="2" w:space="0" w:color="000000"/>
              <w:bottom w:val="single" w:sz="2" w:space="0" w:color="000000"/>
              <w:right w:val="single" w:sz="2" w:space="0" w:color="000000"/>
            </w:tcBorders>
            <w:shd w:val="clear" w:color="auto" w:fill="E7E7E7"/>
            <w:tcMar>
              <w:top w:w="80" w:type="dxa"/>
              <w:left w:w="80" w:type="dxa"/>
              <w:bottom w:w="80" w:type="dxa"/>
              <w:right w:w="80" w:type="dxa"/>
            </w:tcMar>
          </w:tcPr>
          <w:p w14:paraId="1618A156" w14:textId="77777777" w:rsidR="007F6BD4" w:rsidRPr="00055CFE" w:rsidRDefault="007F6BD4" w:rsidP="00A2337F">
            <w:pPr>
              <w:rPr>
                <w:rFonts w:ascii="Bookman Old Style" w:hAnsi="Bookman Old Style"/>
                <w:sz w:val="18"/>
                <w:szCs w:val="18"/>
              </w:rPr>
            </w:pPr>
          </w:p>
        </w:tc>
      </w:tr>
    </w:tbl>
    <w:p w14:paraId="67304869" w14:textId="77777777" w:rsidR="007F6BD4" w:rsidRPr="00D86572" w:rsidRDefault="007F6BD4" w:rsidP="007F6BD4">
      <w:pPr>
        <w:pStyle w:val="Body"/>
        <w:rPr>
          <w:rFonts w:ascii="Bookman Old Style" w:hAnsi="Bookman Old Style"/>
        </w:rPr>
      </w:pPr>
    </w:p>
    <w:p w14:paraId="4256CDB8" w14:textId="77777777" w:rsidR="007F6BD4" w:rsidRPr="00D86572" w:rsidRDefault="007F6BD4" w:rsidP="007F6BD4">
      <w:pPr>
        <w:pStyle w:val="Body"/>
        <w:ind w:left="720"/>
        <w:rPr>
          <w:rFonts w:ascii="Bookman Old Style" w:hAnsi="Bookman Old Style"/>
        </w:rPr>
      </w:pPr>
    </w:p>
    <w:p w14:paraId="171EE310" w14:textId="3AC2A954" w:rsidR="007F6BD4" w:rsidRPr="00EE2960" w:rsidRDefault="00153A43" w:rsidP="00153A43">
      <w:pPr>
        <w:pStyle w:val="Body"/>
        <w:ind w:left="720" w:hanging="720"/>
        <w:rPr>
          <w:rFonts w:ascii="Bookman Old Style" w:hAnsi="Bookman Old Style"/>
          <w:sz w:val="24"/>
          <w:szCs w:val="24"/>
        </w:rPr>
      </w:pPr>
      <w:r>
        <w:rPr>
          <w:rFonts w:ascii="Bookman Old Style" w:hAnsi="Bookman Old Style"/>
          <w:sz w:val="24"/>
        </w:rPr>
        <w:t>1.8.1.</w:t>
      </w:r>
      <w:r>
        <w:rPr>
          <w:rFonts w:ascii="Bookman Old Style" w:hAnsi="Bookman Old Style"/>
          <w:sz w:val="24"/>
        </w:rPr>
        <w:tab/>
        <w:t>O que acaba de ser exposto também demonstra a diversidade das fontes de financiamento e como os fundos concedidos pelos doadores Suécia, Áustria, subvenção da ActionAid e dos parceiro de cooperação internacional</w:t>
      </w:r>
      <w:r w:rsidR="009649BD">
        <w:rPr>
          <w:rFonts w:ascii="Bookman Old Style" w:hAnsi="Bookman Old Style"/>
          <w:sz w:val="24"/>
        </w:rPr>
        <w:t>,</w:t>
      </w:r>
      <w:r>
        <w:rPr>
          <w:rFonts w:ascii="Bookman Old Style" w:hAnsi="Bookman Old Style"/>
          <w:sz w:val="24"/>
        </w:rPr>
        <w:t xml:space="preserve"> ajuda</w:t>
      </w:r>
      <w:r w:rsidR="009649BD">
        <w:rPr>
          <w:rFonts w:ascii="Bookman Old Style" w:hAnsi="Bookman Old Style"/>
          <w:sz w:val="24"/>
        </w:rPr>
        <w:t>m</w:t>
      </w:r>
      <w:r>
        <w:rPr>
          <w:rFonts w:ascii="Bookman Old Style" w:hAnsi="Bookman Old Style"/>
          <w:sz w:val="24"/>
        </w:rPr>
        <w:t xml:space="preserve"> a potencializar outras fontes de financiamento. Por exemplo, o Programa de SDSR e Democracia que beneficia o Fórum através da colocação dos pesquisadores nacionais proporciona uma capacidade adicional aos parlamentos. Por outro lado, a visibilidade do Fórum a nível nacional é reforçada e contribui para o alcance dos seus objectivos interparlamentares.</w:t>
      </w:r>
    </w:p>
    <w:p w14:paraId="16F9A0C6" w14:textId="77777777" w:rsidR="007F6BD4" w:rsidRPr="00EE2960" w:rsidRDefault="007F6BD4" w:rsidP="007F6BD4">
      <w:pPr>
        <w:pStyle w:val="Body"/>
        <w:rPr>
          <w:rFonts w:ascii="Bookman Old Style" w:hAnsi="Bookman Old Style"/>
          <w:sz w:val="24"/>
          <w:szCs w:val="24"/>
        </w:rPr>
      </w:pPr>
    </w:p>
    <w:p w14:paraId="01999C1B" w14:textId="2F7FE8F2" w:rsidR="007F6BD4" w:rsidRPr="00EE2960" w:rsidRDefault="00D9091B" w:rsidP="00D9091B">
      <w:pPr>
        <w:pStyle w:val="Body"/>
        <w:ind w:left="720" w:hanging="720"/>
        <w:rPr>
          <w:rFonts w:ascii="Bookman Old Style" w:hAnsi="Bookman Old Style"/>
          <w:b/>
          <w:bCs/>
          <w:i/>
          <w:iCs/>
          <w:sz w:val="24"/>
          <w:szCs w:val="24"/>
        </w:rPr>
      </w:pPr>
      <w:r>
        <w:rPr>
          <w:rFonts w:ascii="Bookman Old Style" w:hAnsi="Bookman Old Style"/>
          <w:sz w:val="24"/>
        </w:rPr>
        <w:t>1.8.2.</w:t>
      </w:r>
      <w:r>
        <w:rPr>
          <w:rFonts w:ascii="Bookman Old Style" w:hAnsi="Bookman Old Style"/>
          <w:sz w:val="24"/>
        </w:rPr>
        <w:tab/>
      </w:r>
      <w:r>
        <w:rPr>
          <w:rFonts w:ascii="Bookman Old Style" w:hAnsi="Bookman Old Style"/>
          <w:b/>
          <w:i/>
          <w:sz w:val="24"/>
        </w:rPr>
        <w:t xml:space="preserve">Tendo em conta o que foi dito, há uma necessidade de a </w:t>
      </w:r>
      <w:r w:rsidR="00670996" w:rsidRPr="00EC59BC">
        <w:rPr>
          <w:rFonts w:ascii="Bookman Old Style" w:hAnsi="Bookman Old Style"/>
          <w:b/>
          <w:bCs/>
          <w:i/>
          <w:iCs/>
          <w:color w:val="282828"/>
          <w:sz w:val="24"/>
          <w:shd w:val="clear" w:color="auto" w:fill="FFFFFF"/>
        </w:rPr>
        <w:t>Assembleia Plenária</w:t>
      </w:r>
      <w:r>
        <w:rPr>
          <w:rFonts w:ascii="Bookman Old Style" w:hAnsi="Bookman Old Style"/>
          <w:b/>
          <w:i/>
          <w:sz w:val="24"/>
        </w:rPr>
        <w:t xml:space="preserve"> e, posteriormente a Assembleia Plenária, apreciar</w:t>
      </w:r>
      <w:r w:rsidR="009649BD">
        <w:rPr>
          <w:rFonts w:ascii="Bookman Old Style" w:hAnsi="Bookman Old Style"/>
          <w:b/>
          <w:i/>
          <w:sz w:val="24"/>
        </w:rPr>
        <w:t>em</w:t>
      </w:r>
      <w:r>
        <w:rPr>
          <w:rFonts w:ascii="Bookman Old Style" w:hAnsi="Bookman Old Style"/>
          <w:b/>
          <w:i/>
          <w:sz w:val="24"/>
        </w:rPr>
        <w:t xml:space="preserve"> o próximo orçamento, avaliando os factores críticos de eficiência e de desempenho relativamente aos objectivos definidos do Fórum. Para o Fórum avançar no sentido de alcançar os seus objectivos, precisa de um orçamento habilitante que seja atencioso aos objectivos programáticos, administrativos e de provimento de pessoal e que consiga posicionar o Fórum como um verdadeiro porta-estandarte da democratização e do desenvolvimento socioeconómico para a região. Isto vai necessitar de decisões ousadas sobre a determinação de prioridades, o modo de operações e as fontes de financiamento, sobretudo numa altura em que a instituição caminha para a sua transformação em Parlamento regional.</w:t>
      </w:r>
    </w:p>
    <w:p w14:paraId="6F9A2BB8" w14:textId="77777777" w:rsidR="000333C4" w:rsidRPr="008040EC" w:rsidRDefault="000333C4" w:rsidP="00480C2B">
      <w:pPr>
        <w:spacing w:after="0" w:line="240" w:lineRule="auto"/>
        <w:jc w:val="both"/>
        <w:rPr>
          <w:rFonts w:ascii="Bookman Old Style" w:hAnsi="Bookman Old Style"/>
          <w:bCs/>
          <w:sz w:val="24"/>
          <w:szCs w:val="24"/>
        </w:rPr>
      </w:pPr>
    </w:p>
    <w:p w14:paraId="2C1C34F3" w14:textId="76245D5E" w:rsidR="00FB7436" w:rsidRDefault="00FB7436" w:rsidP="00480C2B">
      <w:pPr>
        <w:pBdr>
          <w:bottom w:val="single" w:sz="6" w:space="1" w:color="auto"/>
        </w:pBdr>
        <w:spacing w:after="0" w:line="240" w:lineRule="auto"/>
        <w:jc w:val="both"/>
        <w:rPr>
          <w:rFonts w:ascii="Bookman Old Style" w:hAnsi="Bookman Old Style"/>
          <w:bCs/>
          <w:sz w:val="24"/>
          <w:szCs w:val="24"/>
        </w:rPr>
      </w:pPr>
    </w:p>
    <w:p w14:paraId="747B0F27" w14:textId="1BA2B852" w:rsidR="00FA04F6" w:rsidRPr="00D9091B" w:rsidRDefault="00D93896" w:rsidP="00EC59BC">
      <w:pPr>
        <w:pStyle w:val="ListParagraph"/>
        <w:numPr>
          <w:ilvl w:val="0"/>
          <w:numId w:val="27"/>
        </w:numPr>
        <w:spacing w:after="0" w:line="240" w:lineRule="auto"/>
        <w:ind w:left="567" w:hanging="567"/>
        <w:jc w:val="both"/>
        <w:rPr>
          <w:rFonts w:ascii="Bookman Old Style" w:hAnsi="Bookman Old Style"/>
          <w:b/>
          <w:sz w:val="24"/>
          <w:szCs w:val="24"/>
        </w:rPr>
      </w:pPr>
      <w:bookmarkStart w:id="1" w:name="_Toc361048654"/>
      <w:bookmarkStart w:id="2" w:name="_Toc536696518"/>
      <w:r>
        <w:rPr>
          <w:rFonts w:ascii="Bookman Old Style" w:hAnsi="Bookman Old Style"/>
          <w:b/>
          <w:sz w:val="24"/>
        </w:rPr>
        <w:lastRenderedPageBreak/>
        <w:t>SUMÁRIO EXECUTIVO</w:t>
      </w:r>
    </w:p>
    <w:p w14:paraId="4A681D7B" w14:textId="77777777" w:rsidR="00480C2B" w:rsidRPr="008040EC" w:rsidRDefault="00480C2B" w:rsidP="00480C2B">
      <w:pPr>
        <w:pStyle w:val="ListParagraph"/>
        <w:spacing w:after="0" w:line="240" w:lineRule="auto"/>
        <w:ind w:left="567"/>
        <w:jc w:val="both"/>
        <w:rPr>
          <w:rFonts w:ascii="Bookman Old Style" w:hAnsi="Bookman Old Style"/>
          <w:b/>
          <w:sz w:val="24"/>
          <w:szCs w:val="24"/>
        </w:rPr>
      </w:pPr>
    </w:p>
    <w:p w14:paraId="3001465A" w14:textId="6F08EFD2" w:rsidR="00FA04F6" w:rsidRPr="008040EC" w:rsidRDefault="0067097C" w:rsidP="00480C2B">
      <w:pPr>
        <w:spacing w:after="0" w:line="240" w:lineRule="auto"/>
        <w:ind w:left="567"/>
        <w:jc w:val="both"/>
        <w:rPr>
          <w:rFonts w:ascii="Bookman Old Style" w:hAnsi="Bookman Old Style"/>
          <w:sz w:val="24"/>
          <w:szCs w:val="24"/>
        </w:rPr>
      </w:pPr>
      <w:r>
        <w:rPr>
          <w:rFonts w:ascii="Bookman Old Style" w:hAnsi="Bookman Old Style"/>
          <w:sz w:val="24"/>
        </w:rPr>
        <w:t>A Assembleia Plenária é convidada a analisar e aprovar a proposta de orçamento do exercício financeiro de 1 de Abril de 2023 a 31 de Março 2024.</w:t>
      </w:r>
    </w:p>
    <w:bookmarkEnd w:id="1"/>
    <w:bookmarkEnd w:id="2"/>
    <w:p w14:paraId="3BF4B5D9" w14:textId="77777777" w:rsidR="00FA04F6" w:rsidRPr="008040EC" w:rsidRDefault="00FA04F6" w:rsidP="00480C2B">
      <w:pPr>
        <w:spacing w:after="0" w:line="240" w:lineRule="auto"/>
        <w:ind w:left="567" w:hanging="567"/>
        <w:jc w:val="both"/>
        <w:rPr>
          <w:rFonts w:ascii="Bookman Old Style" w:hAnsi="Bookman Old Style"/>
          <w:sz w:val="24"/>
          <w:szCs w:val="24"/>
        </w:rPr>
      </w:pPr>
    </w:p>
    <w:p w14:paraId="0B675AAE" w14:textId="77777777" w:rsidR="005A3E76" w:rsidRDefault="005A3E76" w:rsidP="005A3E76">
      <w:pPr>
        <w:spacing w:after="0" w:line="240" w:lineRule="auto"/>
        <w:ind w:left="567" w:hanging="567"/>
        <w:jc w:val="both"/>
        <w:rPr>
          <w:rFonts w:ascii="Bookman Old Style" w:hAnsi="Bookman Old Style"/>
          <w:sz w:val="24"/>
          <w:szCs w:val="24"/>
        </w:rPr>
      </w:pPr>
      <w:r>
        <w:rPr>
          <w:rFonts w:ascii="Bookman Old Style" w:hAnsi="Bookman Old Style"/>
          <w:b/>
          <w:sz w:val="24"/>
        </w:rPr>
        <w:t>2.1.</w:t>
      </w:r>
      <w:r>
        <w:rPr>
          <w:rFonts w:ascii="Bookman Old Style" w:hAnsi="Bookman Old Style"/>
          <w:b/>
          <w:sz w:val="24"/>
        </w:rPr>
        <w:tab/>
        <w:t>Fontes de financiamento</w:t>
      </w:r>
    </w:p>
    <w:p w14:paraId="103C99E7" w14:textId="33638162" w:rsidR="0036314E" w:rsidRPr="005A3E76" w:rsidRDefault="00FA04F6" w:rsidP="005A3E76">
      <w:pPr>
        <w:spacing w:after="0" w:line="240" w:lineRule="auto"/>
        <w:ind w:left="567"/>
        <w:jc w:val="both"/>
        <w:rPr>
          <w:rFonts w:ascii="Bookman Old Style" w:hAnsi="Bookman Old Style"/>
          <w:sz w:val="24"/>
          <w:szCs w:val="24"/>
        </w:rPr>
      </w:pPr>
      <w:r>
        <w:rPr>
          <w:rFonts w:ascii="Bookman Old Style" w:hAnsi="Bookman Old Style"/>
          <w:sz w:val="24"/>
        </w:rPr>
        <w:t>O presente orçamento prevê todas as fontes de financiamento conhecidas e confirmadas para o exercício financeiro 2023/2024.</w:t>
      </w:r>
    </w:p>
    <w:p w14:paraId="11B10E3C" w14:textId="77777777" w:rsidR="005A3E76" w:rsidRDefault="005A3E76" w:rsidP="005A3E76">
      <w:pPr>
        <w:spacing w:after="0" w:line="240" w:lineRule="auto"/>
        <w:jc w:val="both"/>
        <w:rPr>
          <w:rFonts w:ascii="Bookman Old Style" w:hAnsi="Bookman Old Style"/>
          <w:sz w:val="24"/>
          <w:szCs w:val="24"/>
        </w:rPr>
      </w:pPr>
    </w:p>
    <w:p w14:paraId="736D3E32" w14:textId="37925BA9" w:rsidR="005A3E76" w:rsidRDefault="00FD4D92" w:rsidP="00EC59BC">
      <w:pPr>
        <w:pStyle w:val="ListParagraph"/>
        <w:numPr>
          <w:ilvl w:val="1"/>
          <w:numId w:val="28"/>
        </w:numPr>
        <w:spacing w:after="0" w:line="240" w:lineRule="auto"/>
        <w:ind w:left="567" w:hanging="567"/>
        <w:jc w:val="both"/>
        <w:rPr>
          <w:rFonts w:ascii="Bookman Old Style" w:hAnsi="Bookman Old Style"/>
          <w:sz w:val="24"/>
          <w:szCs w:val="24"/>
        </w:rPr>
      </w:pPr>
      <w:r>
        <w:rPr>
          <w:rFonts w:ascii="Bookman Old Style" w:hAnsi="Bookman Old Style"/>
          <w:sz w:val="24"/>
        </w:rPr>
        <w:t xml:space="preserve">Serão apresentados a nível dos programas orçamentos detalhados para financiamento que não estão contidos na presente proposta de orçamento. </w:t>
      </w:r>
    </w:p>
    <w:p w14:paraId="04D3283B" w14:textId="77777777" w:rsidR="00C3263D" w:rsidRDefault="00C3263D" w:rsidP="00C3263D">
      <w:pPr>
        <w:pStyle w:val="ListParagraph"/>
        <w:spacing w:after="0" w:line="240" w:lineRule="auto"/>
        <w:jc w:val="both"/>
        <w:rPr>
          <w:rFonts w:ascii="Bookman Old Style" w:hAnsi="Bookman Old Style"/>
          <w:sz w:val="24"/>
          <w:szCs w:val="24"/>
        </w:rPr>
      </w:pPr>
    </w:p>
    <w:p w14:paraId="48BA628A" w14:textId="07FFB64A" w:rsidR="004A16A0" w:rsidRPr="004A16A0" w:rsidRDefault="009649BD" w:rsidP="00EC59BC">
      <w:pPr>
        <w:pStyle w:val="ListParagraph"/>
        <w:numPr>
          <w:ilvl w:val="1"/>
          <w:numId w:val="28"/>
        </w:numPr>
        <w:spacing w:after="0" w:line="240" w:lineRule="auto"/>
        <w:ind w:left="567" w:hanging="567"/>
        <w:jc w:val="both"/>
        <w:rPr>
          <w:rFonts w:ascii="Bookman Old Style" w:hAnsi="Bookman Old Style"/>
          <w:b/>
          <w:bCs/>
          <w:sz w:val="24"/>
          <w:szCs w:val="24"/>
        </w:rPr>
      </w:pPr>
      <w:r>
        <w:rPr>
          <w:rFonts w:ascii="Bookman Old Style" w:hAnsi="Bookman Old Style"/>
          <w:b/>
          <w:sz w:val="24"/>
        </w:rPr>
        <w:t>Ê</w:t>
      </w:r>
      <w:r w:rsidR="004A16A0">
        <w:rPr>
          <w:rFonts w:ascii="Bookman Old Style" w:hAnsi="Bookman Old Style"/>
          <w:b/>
          <w:sz w:val="24"/>
        </w:rPr>
        <w:t>nfase nos recursos financeiros gerados internamente</w:t>
      </w:r>
    </w:p>
    <w:p w14:paraId="288316D8" w14:textId="69A70D69" w:rsidR="005A3E76" w:rsidRPr="004A16A0" w:rsidRDefault="00ED038F" w:rsidP="00EC59BC">
      <w:pPr>
        <w:spacing w:after="0" w:line="240" w:lineRule="auto"/>
        <w:ind w:left="567"/>
        <w:jc w:val="both"/>
        <w:rPr>
          <w:rFonts w:ascii="Bookman Old Style" w:hAnsi="Bookman Old Style"/>
          <w:b/>
          <w:bCs/>
          <w:sz w:val="24"/>
          <w:szCs w:val="24"/>
        </w:rPr>
      </w:pPr>
      <w:r>
        <w:rPr>
          <w:rFonts w:ascii="Bookman Old Style" w:hAnsi="Bookman Old Style"/>
          <w:sz w:val="24"/>
        </w:rPr>
        <w:t xml:space="preserve">O FP-SADC e os seus membros continuam a abraçar a mudança tendo em conta o ambiente político, económico, social e técnico em constante mutação. Como foi referido nos orçamentos dos anos anteriores, as actuais tendências globais exigem um repensar da maneira como o Fórum estrutura o seu orçamento para que, aos poucos, o mesmo se torne menos dependente do financiamento concedido por doadores, o uso do financiamento dos doadores servindo apenas como uma rede de protecção para projectos temáticos, ao invés de fazer funcionar as suas operações principais. </w:t>
      </w:r>
      <w:r>
        <w:rPr>
          <w:rFonts w:ascii="Bookman Old Style" w:hAnsi="Bookman Old Style"/>
          <w:b/>
          <w:sz w:val="24"/>
        </w:rPr>
        <w:t>Para o exercício de 2023/2024, o orçamento reconhece a ausência de financiamento externo e recorre aos seus recursos internos</w:t>
      </w:r>
    </w:p>
    <w:p w14:paraId="5D3AE5E5" w14:textId="77777777" w:rsidR="00C3263D" w:rsidRPr="00B52D61" w:rsidRDefault="00C3263D" w:rsidP="00C3263D">
      <w:pPr>
        <w:pStyle w:val="ListParagraph"/>
        <w:spacing w:after="0" w:line="240" w:lineRule="auto"/>
        <w:jc w:val="both"/>
        <w:rPr>
          <w:rFonts w:ascii="Bookman Old Style" w:hAnsi="Bookman Old Style"/>
          <w:b/>
          <w:bCs/>
          <w:sz w:val="24"/>
          <w:szCs w:val="24"/>
        </w:rPr>
      </w:pPr>
    </w:p>
    <w:p w14:paraId="47F8A623" w14:textId="6E1DA1B5" w:rsidR="00C3263D" w:rsidRDefault="00C3263D" w:rsidP="00EC59BC">
      <w:pPr>
        <w:pStyle w:val="ListParagraph"/>
        <w:numPr>
          <w:ilvl w:val="1"/>
          <w:numId w:val="28"/>
        </w:numPr>
        <w:spacing w:after="0" w:line="240" w:lineRule="auto"/>
        <w:ind w:left="567" w:hanging="567"/>
        <w:jc w:val="both"/>
        <w:rPr>
          <w:rFonts w:ascii="Bookman Old Style" w:hAnsi="Bookman Old Style"/>
          <w:sz w:val="24"/>
          <w:szCs w:val="24"/>
        </w:rPr>
      </w:pPr>
      <w:r>
        <w:rPr>
          <w:rFonts w:ascii="Bookman Old Style" w:hAnsi="Bookman Old Style"/>
          <w:b/>
          <w:sz w:val="24"/>
        </w:rPr>
        <w:t>Modo de operações/implementação de actividades:</w:t>
      </w:r>
    </w:p>
    <w:p w14:paraId="35032B3D" w14:textId="16CAE087" w:rsidR="005A3E76" w:rsidRPr="00EC59BC" w:rsidRDefault="009B4224" w:rsidP="004A16A0">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 xml:space="preserve">O orçamento do ano financeiro de 2023/2024 garante que as actividades do Fórum sejam realizadas dentro dos fundos </w:t>
      </w:r>
      <w:r w:rsidR="009649BD">
        <w:rPr>
          <w:rFonts w:ascii="Bookman Old Style" w:hAnsi="Bookman Old Style"/>
          <w:sz w:val="24"/>
        </w:rPr>
        <w:t>arrecad</w:t>
      </w:r>
      <w:r>
        <w:rPr>
          <w:rFonts w:ascii="Bookman Old Style" w:hAnsi="Bookman Old Style"/>
          <w:sz w:val="24"/>
        </w:rPr>
        <w:t>ados a partir das contribuições anuais obrigatórias e dos lucros acumulados, com o mínimo de contribuições em espécie por parte dos parlamentos membros.</w:t>
      </w:r>
    </w:p>
    <w:p w14:paraId="59E3F949" w14:textId="77777777" w:rsidR="00EC59BC" w:rsidRPr="00B61E56" w:rsidRDefault="00EC59BC" w:rsidP="00EC59BC">
      <w:pPr>
        <w:pStyle w:val="ListParagraph"/>
        <w:spacing w:after="0" w:line="240" w:lineRule="auto"/>
        <w:jc w:val="both"/>
        <w:rPr>
          <w:rFonts w:ascii="Bookman Old Style" w:hAnsi="Bookman Old Style"/>
          <w:sz w:val="24"/>
          <w:szCs w:val="24"/>
        </w:rPr>
      </w:pPr>
    </w:p>
    <w:p w14:paraId="611D8F4B" w14:textId="58A103C0" w:rsidR="00172618" w:rsidRPr="00EC59BC" w:rsidRDefault="00456C2C" w:rsidP="004A16A0">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 xml:space="preserve">De acordo com a resolução da Comissão Executiva, na sua reunião de 13 de Novembro de 2021 em Joanesburgo, África do Sul, à semelhança do orçamento do exercício financeiro 2022/2023, propõe-se que no próximo exercício financeiro, algumas das reuniões estatutárias da instituição se realizem presencialmente, enquanto as outras se realizarão em formato virtual, nos seguintes moldes: </w:t>
      </w:r>
    </w:p>
    <w:p w14:paraId="24498133" w14:textId="77777777" w:rsidR="00EC59BC" w:rsidRPr="00EC59BC" w:rsidRDefault="00EC59BC" w:rsidP="00EC59BC">
      <w:pPr>
        <w:spacing w:after="0" w:line="240" w:lineRule="auto"/>
        <w:jc w:val="both"/>
        <w:rPr>
          <w:rFonts w:ascii="Bookman Old Style" w:hAnsi="Bookman Old Style"/>
          <w:sz w:val="24"/>
          <w:szCs w:val="24"/>
        </w:rPr>
      </w:pPr>
    </w:p>
    <w:p w14:paraId="2F25AF6A" w14:textId="77777777" w:rsidR="00B714BA" w:rsidRPr="00EC59BC" w:rsidRDefault="00F1325D" w:rsidP="00EC59BC">
      <w:pPr>
        <w:pStyle w:val="ListParagraph"/>
        <w:numPr>
          <w:ilvl w:val="3"/>
          <w:numId w:val="28"/>
        </w:numPr>
        <w:spacing w:after="0" w:line="240" w:lineRule="auto"/>
        <w:ind w:left="993" w:hanging="993"/>
        <w:jc w:val="both"/>
        <w:rPr>
          <w:rFonts w:ascii="Bookman Old Style" w:hAnsi="Bookman Old Style"/>
          <w:sz w:val="24"/>
          <w:szCs w:val="24"/>
        </w:rPr>
      </w:pPr>
      <w:r>
        <w:rPr>
          <w:rFonts w:ascii="Bookman Old Style" w:hAnsi="Bookman Old Style"/>
          <w:sz w:val="24"/>
        </w:rPr>
        <w:t xml:space="preserve">Propõe-se que tanto a 53.ª como a 54.ª Assembleias Plenárias se realizem presencialmente. </w:t>
      </w:r>
    </w:p>
    <w:p w14:paraId="3E37D723" w14:textId="77777777" w:rsidR="00EC59BC" w:rsidRPr="00B61E56" w:rsidRDefault="00EC59BC" w:rsidP="00EC59BC">
      <w:pPr>
        <w:pStyle w:val="ListParagraph"/>
        <w:spacing w:after="0" w:line="240" w:lineRule="auto"/>
        <w:ind w:left="993" w:hanging="993"/>
        <w:jc w:val="both"/>
        <w:rPr>
          <w:rFonts w:ascii="Bookman Old Style" w:hAnsi="Bookman Old Style"/>
          <w:sz w:val="24"/>
          <w:szCs w:val="24"/>
        </w:rPr>
      </w:pPr>
    </w:p>
    <w:p w14:paraId="3C21E02B" w14:textId="77777777" w:rsidR="00B714BA" w:rsidRPr="00B61E56" w:rsidRDefault="00DF4535" w:rsidP="00EC59BC">
      <w:pPr>
        <w:pStyle w:val="ListParagraph"/>
        <w:numPr>
          <w:ilvl w:val="3"/>
          <w:numId w:val="28"/>
        </w:numPr>
        <w:spacing w:after="0" w:line="240" w:lineRule="auto"/>
        <w:ind w:left="993" w:hanging="993"/>
        <w:jc w:val="both"/>
        <w:rPr>
          <w:rFonts w:ascii="Bookman Old Style" w:hAnsi="Bookman Old Style"/>
          <w:sz w:val="24"/>
          <w:szCs w:val="24"/>
        </w:rPr>
      </w:pPr>
      <w:r>
        <w:rPr>
          <w:rFonts w:ascii="Bookman Old Style" w:hAnsi="Bookman Old Style"/>
          <w:sz w:val="24"/>
        </w:rPr>
        <w:t>Propõe-se que duas reuniões da Comissão Executiva se realizem presencialmente, e que quaisquer reuniões adicionais da Comissão Executiva se realizem em formato virtual. O orçamento prevê 2 reuniões presenciais e duas reuniões virtuais.</w:t>
      </w:r>
      <w:bookmarkStart w:id="3" w:name="_Hlk117407285"/>
    </w:p>
    <w:p w14:paraId="4E3492A8" w14:textId="77777777" w:rsidR="00B714BA" w:rsidRPr="00EC59BC" w:rsidRDefault="00E24E99"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lastRenderedPageBreak/>
        <w:t>Todas as reuniões das subcomissões da Comissão Executiva (Subcomissão Financeira, Subcomissão dos Recursos Humanos &amp; Desenvolvimento da Capacidade Parlamentar, Subcomissão Jurídica e Subcomissão dos Assuntos Parlamentares) terão lugar em formato virtual. O orçamento prevê 2 reuniões virtuais para cada subcomissão.</w:t>
      </w:r>
    </w:p>
    <w:p w14:paraId="1E8F0D6F" w14:textId="77777777" w:rsidR="00EC59BC" w:rsidRPr="00B61E56" w:rsidRDefault="00EC59BC" w:rsidP="00EC59BC">
      <w:pPr>
        <w:pStyle w:val="ListParagraph"/>
        <w:spacing w:after="0" w:line="240" w:lineRule="auto"/>
        <w:ind w:left="1080"/>
        <w:jc w:val="both"/>
        <w:rPr>
          <w:rFonts w:ascii="Bookman Old Style" w:hAnsi="Bookman Old Style"/>
          <w:sz w:val="24"/>
          <w:szCs w:val="24"/>
        </w:rPr>
      </w:pPr>
    </w:p>
    <w:p w14:paraId="1F9A640A" w14:textId="18D0859B" w:rsidR="00B714BA" w:rsidRPr="00B61E56" w:rsidRDefault="00C8036C"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 xml:space="preserve">Propõe-se que as reuniões das comissões permanentes, da CPRFLM e do Grupo Regional da Mulher Parlamentar sejam todas realizadas em formato virtual, a não ser que haja financiamento externo disponível para reuniões presenciais. A esse propósito, </w:t>
      </w:r>
      <w:r w:rsidR="009649BD">
        <w:rPr>
          <w:rFonts w:ascii="Bookman Old Style" w:hAnsi="Bookman Old Style"/>
          <w:sz w:val="24"/>
        </w:rPr>
        <w:t>faz-se notar à</w:t>
      </w:r>
      <w:r>
        <w:rPr>
          <w:rFonts w:ascii="Bookman Old Style" w:hAnsi="Bookman Old Style"/>
          <w:sz w:val="24"/>
        </w:rPr>
        <w:t xml:space="preserve"> </w:t>
      </w:r>
      <w:r w:rsidR="00670996" w:rsidRPr="00EC59BC">
        <w:rPr>
          <w:rFonts w:ascii="Bookman Old Style" w:hAnsi="Bookman Old Style"/>
          <w:color w:val="282828"/>
          <w:sz w:val="24"/>
          <w:shd w:val="clear" w:color="auto" w:fill="FFFFFF"/>
        </w:rPr>
        <w:t>Assembleia Plenária</w:t>
      </w:r>
      <w:r>
        <w:rPr>
          <w:rFonts w:ascii="Bookman Old Style" w:hAnsi="Bookman Old Style"/>
          <w:sz w:val="24"/>
        </w:rPr>
        <w:t xml:space="preserve"> que algumas comissões permanentes podem realizar reuniões presenciais, enquanto outras só vão poder realizar reuniões virtuais. O orçamento contempla 2 reuniões virtuais para cada uma das cinco comissões permanentes, a CPRFLM e o Grupo Regional da Mulher Parlamentar (RWPC).</w:t>
      </w:r>
      <w:bookmarkEnd w:id="3"/>
    </w:p>
    <w:p w14:paraId="353217F9" w14:textId="53A2977C" w:rsidR="001030C6" w:rsidRPr="00B61E56" w:rsidRDefault="00F11EB1" w:rsidP="00B714BA">
      <w:pPr>
        <w:pStyle w:val="ListParagraph"/>
        <w:numPr>
          <w:ilvl w:val="3"/>
          <w:numId w:val="28"/>
        </w:numPr>
        <w:spacing w:after="0" w:line="240" w:lineRule="auto"/>
        <w:jc w:val="both"/>
        <w:rPr>
          <w:rFonts w:ascii="Bookman Old Style" w:hAnsi="Bookman Old Style"/>
          <w:sz w:val="24"/>
          <w:szCs w:val="24"/>
        </w:rPr>
      </w:pPr>
      <w:r>
        <w:rPr>
          <w:rFonts w:ascii="Bookman Old Style" w:hAnsi="Bookman Old Style"/>
          <w:sz w:val="24"/>
        </w:rPr>
        <w:t>Para todas as reuniões presenciais, será tomada a providência para se criar as condições visando a participação através de uma plataforma virtual (sistema híbrido).</w:t>
      </w:r>
      <w:r>
        <w:rPr>
          <w:rFonts w:ascii="Bookman Old Style" w:hAnsi="Bookman Old Style"/>
          <w:b/>
          <w:i/>
          <w:sz w:val="24"/>
        </w:rPr>
        <w:t xml:space="preserve"> </w:t>
      </w:r>
    </w:p>
    <w:p w14:paraId="794D535E" w14:textId="77777777" w:rsidR="0070011E" w:rsidRPr="00B61E56" w:rsidRDefault="0070011E" w:rsidP="0070011E">
      <w:pPr>
        <w:pStyle w:val="ListParagraph"/>
        <w:spacing w:after="0" w:line="240" w:lineRule="auto"/>
        <w:ind w:left="567"/>
        <w:jc w:val="both"/>
        <w:rPr>
          <w:rFonts w:ascii="Bookman Old Style" w:hAnsi="Bookman Old Style"/>
          <w:b/>
          <w:bCs/>
          <w:i/>
          <w:iCs/>
          <w:sz w:val="24"/>
          <w:szCs w:val="24"/>
        </w:rPr>
      </w:pPr>
    </w:p>
    <w:p w14:paraId="31DA5414" w14:textId="6BF19D63" w:rsidR="00C45922" w:rsidRPr="00EC59BC" w:rsidRDefault="00C45922" w:rsidP="005A3E76">
      <w:pPr>
        <w:pStyle w:val="ListParagraph"/>
        <w:numPr>
          <w:ilvl w:val="1"/>
          <w:numId w:val="28"/>
        </w:numPr>
        <w:spacing w:after="0" w:line="240" w:lineRule="auto"/>
        <w:ind w:left="567" w:hanging="567"/>
        <w:jc w:val="both"/>
        <w:rPr>
          <w:rFonts w:ascii="Bookman Old Style" w:hAnsi="Bookman Old Style"/>
          <w:b/>
          <w:bCs/>
          <w:sz w:val="24"/>
          <w:szCs w:val="24"/>
        </w:rPr>
      </w:pPr>
      <w:r>
        <w:rPr>
          <w:rFonts w:ascii="Bookman Old Style" w:hAnsi="Bookman Old Style"/>
          <w:b/>
          <w:sz w:val="24"/>
        </w:rPr>
        <w:t>Contribuição em espécie dos parlamentos membros</w:t>
      </w:r>
    </w:p>
    <w:p w14:paraId="37A0F659" w14:textId="77777777" w:rsidR="00EC59BC" w:rsidRPr="00B61E56" w:rsidRDefault="00EC59BC" w:rsidP="00EC59BC">
      <w:pPr>
        <w:pStyle w:val="ListParagraph"/>
        <w:spacing w:after="0" w:line="240" w:lineRule="auto"/>
        <w:ind w:left="567"/>
        <w:jc w:val="both"/>
        <w:rPr>
          <w:rFonts w:ascii="Bookman Old Style" w:hAnsi="Bookman Old Style"/>
          <w:b/>
          <w:bCs/>
          <w:sz w:val="24"/>
          <w:szCs w:val="24"/>
        </w:rPr>
      </w:pPr>
    </w:p>
    <w:p w14:paraId="0EBAEFE7" w14:textId="77633EC3" w:rsidR="000F07D8" w:rsidRPr="00B61E56" w:rsidRDefault="00CC0A46" w:rsidP="00C45922">
      <w:pPr>
        <w:pStyle w:val="ListParagraph"/>
        <w:spacing w:after="0" w:line="240" w:lineRule="auto"/>
        <w:ind w:left="567"/>
        <w:jc w:val="both"/>
        <w:rPr>
          <w:rFonts w:ascii="Bookman Old Style" w:hAnsi="Bookman Old Style"/>
          <w:b/>
          <w:bCs/>
          <w:sz w:val="24"/>
          <w:szCs w:val="24"/>
        </w:rPr>
      </w:pPr>
      <w:r>
        <w:rPr>
          <w:rFonts w:ascii="Bookman Old Style" w:hAnsi="Bookman Old Style"/>
          <w:b/>
          <w:sz w:val="24"/>
        </w:rPr>
        <w:t>De acordo com a norma estabelecida do FP-SADC, os custos de participação dos membros nas reuniões presenciais serão suportados pelos seus respect</w:t>
      </w:r>
      <w:r w:rsidR="00670996">
        <w:rPr>
          <w:rFonts w:ascii="Bookman Old Style" w:hAnsi="Bookman Old Style"/>
          <w:b/>
          <w:sz w:val="24"/>
        </w:rPr>
        <w:t>i</w:t>
      </w:r>
      <w:r>
        <w:rPr>
          <w:rFonts w:ascii="Bookman Old Style" w:hAnsi="Bookman Old Style"/>
          <w:b/>
          <w:sz w:val="24"/>
        </w:rPr>
        <w:t>vos parlamentos membros, a não ser que seja disponibilizado um financiamento externo.</w:t>
      </w:r>
    </w:p>
    <w:p w14:paraId="522D1595" w14:textId="47D8DF37" w:rsidR="006A4500" w:rsidRPr="00B61E56" w:rsidRDefault="006A4500" w:rsidP="002003BF">
      <w:pPr>
        <w:spacing w:after="0" w:line="240" w:lineRule="auto"/>
        <w:jc w:val="both"/>
        <w:rPr>
          <w:rFonts w:ascii="Bookman Old Style" w:hAnsi="Bookman Old Style"/>
          <w:b/>
          <w:bCs/>
          <w:sz w:val="24"/>
          <w:szCs w:val="24"/>
        </w:rPr>
      </w:pPr>
    </w:p>
    <w:p w14:paraId="69137638" w14:textId="77777777" w:rsidR="00EF1A37" w:rsidRPr="00EC59BC" w:rsidRDefault="003C5268" w:rsidP="005A3E76">
      <w:pPr>
        <w:pStyle w:val="ListParagraph"/>
        <w:numPr>
          <w:ilvl w:val="1"/>
          <w:numId w:val="28"/>
        </w:numPr>
        <w:spacing w:after="0" w:line="240" w:lineRule="auto"/>
        <w:ind w:left="567" w:hanging="567"/>
        <w:jc w:val="both"/>
        <w:rPr>
          <w:rFonts w:ascii="Bookman Old Style" w:hAnsi="Bookman Old Style"/>
          <w:sz w:val="24"/>
          <w:szCs w:val="24"/>
        </w:rPr>
      </w:pPr>
      <w:r>
        <w:rPr>
          <w:rFonts w:ascii="Bookman Old Style" w:hAnsi="Bookman Old Style"/>
          <w:b/>
          <w:bCs/>
          <w:sz w:val="24"/>
        </w:rPr>
        <w:t>Emolumentos dos funcionários:</w:t>
      </w:r>
      <w:r>
        <w:rPr>
          <w:rFonts w:ascii="Bookman Old Style" w:hAnsi="Bookman Old Style"/>
          <w:sz w:val="24"/>
        </w:rPr>
        <w:t xml:space="preserve"> </w:t>
      </w:r>
    </w:p>
    <w:p w14:paraId="1E29A1A8" w14:textId="77777777" w:rsidR="00EC59BC" w:rsidRPr="00B61E56" w:rsidRDefault="00EC59BC" w:rsidP="00EC59BC">
      <w:pPr>
        <w:pStyle w:val="ListParagraph"/>
        <w:spacing w:after="0" w:line="240" w:lineRule="auto"/>
        <w:ind w:left="567"/>
        <w:jc w:val="both"/>
        <w:rPr>
          <w:rFonts w:ascii="Bookman Old Style" w:hAnsi="Bookman Old Style"/>
          <w:sz w:val="24"/>
          <w:szCs w:val="24"/>
        </w:rPr>
      </w:pPr>
    </w:p>
    <w:p w14:paraId="121528CD" w14:textId="3B8C766F" w:rsidR="005A3E76" w:rsidRPr="00EC59BC" w:rsidRDefault="003B1586" w:rsidP="005A3E76">
      <w:pPr>
        <w:pStyle w:val="ListParagraph"/>
        <w:numPr>
          <w:ilvl w:val="2"/>
          <w:numId w:val="28"/>
        </w:numPr>
        <w:spacing w:after="0" w:line="240" w:lineRule="auto"/>
        <w:ind w:left="993" w:hanging="993"/>
        <w:jc w:val="both"/>
        <w:rPr>
          <w:rFonts w:ascii="Bookman Old Style" w:hAnsi="Bookman Old Style"/>
          <w:sz w:val="24"/>
          <w:szCs w:val="24"/>
        </w:rPr>
      </w:pPr>
      <w:r>
        <w:rPr>
          <w:rFonts w:ascii="Bookman Old Style" w:hAnsi="Bookman Old Style"/>
          <w:sz w:val="24"/>
        </w:rPr>
        <w:t xml:space="preserve">A instituição continua a reconhecer o papel-chave que o Secretariado desempenha na gestão, sustentabilidade e crescimento da instituição. É a força do Secretariado e a solidez dos parcos recursos humanos do Fórum que fazem em grande medida com que o Fórum atraia financiamentos concedidos por doadores. O orçamento de 2023/2024 prevê que o pessoal que está actualmente no Secretariado, mais um secretário da comissão &amp; gestor de programa, devido ao facto de a opção de destacamento não ter sido muito eficaz. Sendo assim, os fundos anteriormente reservados para subsídios de destacamento serão realocados para este posto. Isto contribuirá muito para criar as capacidades requeridas no Departamento dos Assuntos Parlamentares e Programas. </w:t>
      </w:r>
    </w:p>
    <w:p w14:paraId="62DE695B" w14:textId="77777777" w:rsidR="00EC59BC" w:rsidRPr="00B61E56" w:rsidRDefault="00EC59BC" w:rsidP="00EC59BC">
      <w:pPr>
        <w:pStyle w:val="ListParagraph"/>
        <w:spacing w:after="0" w:line="240" w:lineRule="auto"/>
        <w:ind w:left="993"/>
        <w:jc w:val="both"/>
        <w:rPr>
          <w:rFonts w:ascii="Bookman Old Style" w:hAnsi="Bookman Old Style"/>
          <w:sz w:val="24"/>
          <w:szCs w:val="24"/>
        </w:rPr>
      </w:pPr>
    </w:p>
    <w:p w14:paraId="0F1D4A2D" w14:textId="42D1E5DF" w:rsidR="004F7BE9" w:rsidRPr="00B61E56" w:rsidRDefault="007D76BB" w:rsidP="005A3E76">
      <w:pPr>
        <w:pStyle w:val="ListParagraph"/>
        <w:numPr>
          <w:ilvl w:val="2"/>
          <w:numId w:val="28"/>
        </w:numPr>
        <w:spacing w:after="0" w:line="240" w:lineRule="auto"/>
        <w:ind w:left="993" w:hanging="993"/>
        <w:jc w:val="both"/>
        <w:rPr>
          <w:rFonts w:ascii="Bookman Old Style" w:hAnsi="Bookman Old Style"/>
          <w:sz w:val="24"/>
          <w:szCs w:val="24"/>
        </w:rPr>
      </w:pPr>
      <w:r>
        <w:rPr>
          <w:rFonts w:ascii="Bookman Old Style" w:hAnsi="Bookman Old Style"/>
          <w:sz w:val="24"/>
        </w:rPr>
        <w:t>Nesta proposta de orçamento, os dois postos anteriormente financiados por doadores estão também previstos, nomeadamente o de Director de Corporate Governance e o de Secretário da Comissão &amp; Gestor do Programa de DGHR. Felizmente, os postos foram também previsto</w:t>
      </w:r>
      <w:r w:rsidR="009649BD">
        <w:rPr>
          <w:rFonts w:ascii="Bookman Old Style" w:hAnsi="Bookman Old Style"/>
          <w:sz w:val="24"/>
        </w:rPr>
        <w:t>s</w:t>
      </w:r>
      <w:r>
        <w:rPr>
          <w:rFonts w:ascii="Bookman Old Style" w:hAnsi="Bookman Old Style"/>
          <w:sz w:val="24"/>
        </w:rPr>
        <w:t xml:space="preserve"> no orçamento do exercício de 2022/2023 devido à incerteza do financiamento externo na altura da elaboração do orçamento, o que significa que o aumento líquido da factura salarial do exercício </w:t>
      </w:r>
      <w:r>
        <w:rPr>
          <w:rFonts w:ascii="Bookman Old Style" w:hAnsi="Bookman Old Style"/>
          <w:sz w:val="24"/>
        </w:rPr>
        <w:lastRenderedPageBreak/>
        <w:t xml:space="preserve">financeiro de 2023/2024 é de apenas N$1,4 milhões, acrescido </w:t>
      </w:r>
      <w:r w:rsidR="009649BD">
        <w:rPr>
          <w:rFonts w:ascii="Bookman Old Style" w:hAnsi="Bookman Old Style"/>
          <w:sz w:val="24"/>
        </w:rPr>
        <w:t>da exclusão d</w:t>
      </w:r>
      <w:r>
        <w:rPr>
          <w:rFonts w:ascii="Bookman Old Style" w:hAnsi="Bookman Old Style"/>
          <w:sz w:val="24"/>
        </w:rPr>
        <w:t xml:space="preserve">a provisão do destacamento. </w:t>
      </w:r>
    </w:p>
    <w:p w14:paraId="041C25DF" w14:textId="77777777" w:rsidR="002003BF" w:rsidRPr="00B61E56" w:rsidRDefault="002003BF" w:rsidP="002003BF">
      <w:pPr>
        <w:spacing w:after="0" w:line="240" w:lineRule="auto"/>
        <w:jc w:val="both"/>
        <w:rPr>
          <w:rFonts w:ascii="Bookman Old Style" w:hAnsi="Bookman Old Style"/>
          <w:sz w:val="24"/>
          <w:szCs w:val="24"/>
        </w:rPr>
      </w:pPr>
    </w:p>
    <w:p w14:paraId="6C246987" w14:textId="77777777" w:rsidR="005374A9" w:rsidRPr="00B61E56" w:rsidRDefault="005374A9" w:rsidP="005A3E76">
      <w:pPr>
        <w:pStyle w:val="ListParagraph"/>
        <w:numPr>
          <w:ilvl w:val="1"/>
          <w:numId w:val="28"/>
        </w:numPr>
        <w:spacing w:after="0" w:line="240" w:lineRule="auto"/>
        <w:ind w:left="709" w:hanging="709"/>
        <w:jc w:val="both"/>
        <w:rPr>
          <w:rFonts w:ascii="Bookman Old Style" w:hAnsi="Bookman Old Style"/>
          <w:b/>
          <w:bCs/>
          <w:sz w:val="24"/>
          <w:szCs w:val="24"/>
        </w:rPr>
      </w:pPr>
      <w:r>
        <w:rPr>
          <w:rFonts w:ascii="Bookman Old Style" w:hAnsi="Bookman Old Style"/>
          <w:b/>
          <w:sz w:val="24"/>
        </w:rPr>
        <w:t>Principal risco: Emolumentos dos funcionários</w:t>
      </w:r>
    </w:p>
    <w:p w14:paraId="4E9C2384" w14:textId="7B0A2B57" w:rsidR="00A12F94" w:rsidRPr="00EC59BC" w:rsidRDefault="00B740CF" w:rsidP="005A3E76">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Deve-se ressaltar que o modelo de negócio das organizações congéneres do Fórum tem sempre sido o de ter uma factura salarial sólida que pode atrair profissionais de excelência para se juntarem à organização, sobretudo uma vez que poucos indivíduos têm as competências exclusivas requeridas para interagir com os parlamentos e criar a capacidade dos Deputados. Comparativamente, a factura salarial do Fórum continua a ser muito inferior à factura salarial de outras organizações interparlamentares ou outros órgãos da SADC tais como o Secretariado da SADC. A questão fundamental é que o modelo de negócio das organizações interparlamentares em geral, e do Fórum em particular, não permite que tenham uma factura salarial abaixo de uma certa quantia (independentemente da percentagem relativa às receitas), já que há uma necessidade de se preservar certas competências profissionais necessárias para manter a organização em bom funcionamento e torná-la atraente aos parceiro</w:t>
      </w:r>
      <w:r w:rsidR="00D623CC">
        <w:rPr>
          <w:rFonts w:ascii="Bookman Old Style" w:hAnsi="Bookman Old Style"/>
          <w:sz w:val="24"/>
        </w:rPr>
        <w:t>s</w:t>
      </w:r>
      <w:r>
        <w:rPr>
          <w:rFonts w:ascii="Bookman Old Style" w:hAnsi="Bookman Old Style"/>
          <w:sz w:val="24"/>
        </w:rPr>
        <w:t xml:space="preserve"> de implementação, colaboradores e potenciais doadores e investidores.</w:t>
      </w:r>
    </w:p>
    <w:p w14:paraId="21FB8B66" w14:textId="77777777" w:rsidR="00EC59BC" w:rsidRPr="00B61E56" w:rsidRDefault="00EC59BC" w:rsidP="00EC59BC">
      <w:pPr>
        <w:pStyle w:val="ListParagraph"/>
        <w:spacing w:after="0" w:line="240" w:lineRule="auto"/>
        <w:jc w:val="both"/>
        <w:rPr>
          <w:rFonts w:ascii="Bookman Old Style" w:hAnsi="Bookman Old Style"/>
          <w:sz w:val="24"/>
          <w:szCs w:val="24"/>
        </w:rPr>
      </w:pPr>
    </w:p>
    <w:p w14:paraId="4916C6C1" w14:textId="4D784457" w:rsidR="006625CB" w:rsidRPr="00EC59BC" w:rsidRDefault="00A12F94" w:rsidP="005A3E76">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 xml:space="preserve">A proporção da factura salarial relativamente às receitas gerais da organização, incluindo o financiamento concedido por doadores, tem nos últimos anos sido no máximo 30%. Contudo, sem financiamento de doadores, a percentagem dos salários relativamente às contribuições pagas pelos membros situa-se em 81%, enquanto a percentagem dos salários relativamente às receitas totais orçamentadas para 2023/2024, incluindo a receita acumulada, situa-se em 55%. </w:t>
      </w:r>
    </w:p>
    <w:p w14:paraId="36934DE7" w14:textId="77777777" w:rsidR="00EC59BC" w:rsidRPr="00EC59BC" w:rsidRDefault="00EC59BC" w:rsidP="00EC59BC">
      <w:pPr>
        <w:spacing w:after="0" w:line="240" w:lineRule="auto"/>
        <w:jc w:val="both"/>
        <w:rPr>
          <w:rFonts w:ascii="Bookman Old Style" w:hAnsi="Bookman Old Style"/>
          <w:sz w:val="24"/>
          <w:szCs w:val="24"/>
        </w:rPr>
      </w:pPr>
    </w:p>
    <w:p w14:paraId="2EE91A05" w14:textId="1DA86B01" w:rsidR="00E01BDC" w:rsidRPr="00EC59BC" w:rsidRDefault="00CA0A0F" w:rsidP="005A3E76">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Prevê-se que a factura salarial, na ausência de aumento das contribuições pagas pelos membros, chegará a 99% das contribuições até 2026.</w:t>
      </w:r>
    </w:p>
    <w:p w14:paraId="1E4AA107" w14:textId="77777777" w:rsidR="00EC59BC" w:rsidRPr="00EC59BC" w:rsidRDefault="00EC59BC" w:rsidP="00EC59BC">
      <w:pPr>
        <w:spacing w:after="0" w:line="240" w:lineRule="auto"/>
        <w:jc w:val="both"/>
        <w:rPr>
          <w:rFonts w:ascii="Bookman Old Style" w:hAnsi="Bookman Old Style"/>
          <w:sz w:val="24"/>
          <w:szCs w:val="24"/>
        </w:rPr>
      </w:pPr>
    </w:p>
    <w:p w14:paraId="611DBDDC" w14:textId="6DAE9735" w:rsidR="00AF69A5" w:rsidRPr="00B61E56" w:rsidRDefault="00AF69A5" w:rsidP="005A3E76">
      <w:pPr>
        <w:pStyle w:val="ListParagraph"/>
        <w:numPr>
          <w:ilvl w:val="2"/>
          <w:numId w:val="28"/>
        </w:numPr>
        <w:spacing w:after="0" w:line="240" w:lineRule="auto"/>
        <w:jc w:val="both"/>
        <w:rPr>
          <w:rFonts w:ascii="Bookman Old Style" w:hAnsi="Bookman Old Style"/>
          <w:sz w:val="24"/>
          <w:szCs w:val="24"/>
        </w:rPr>
      </w:pPr>
      <w:r>
        <w:rPr>
          <w:rFonts w:ascii="Bookman Old Style" w:hAnsi="Bookman Old Style"/>
          <w:sz w:val="24"/>
        </w:rPr>
        <w:t>Os dados detalhados do orçamento dos Emolumentos do Pessoal são apresentados na subsecção 5.3.</w:t>
      </w:r>
    </w:p>
    <w:p w14:paraId="1DF0E215" w14:textId="502DAA88" w:rsidR="002003BF" w:rsidRPr="00B61E56" w:rsidRDefault="00E12F08" w:rsidP="002003BF">
      <w:pPr>
        <w:spacing w:after="0" w:line="240" w:lineRule="auto"/>
        <w:jc w:val="both"/>
        <w:rPr>
          <w:rFonts w:ascii="Bookman Old Style" w:hAnsi="Bookman Old Style"/>
          <w:sz w:val="24"/>
          <w:szCs w:val="24"/>
        </w:rPr>
      </w:pPr>
      <w:r>
        <w:rPr>
          <w:rFonts w:ascii="Bookman Old Style" w:hAnsi="Bookman Old Style"/>
          <w:sz w:val="24"/>
        </w:rPr>
        <w:t xml:space="preserve">  </w:t>
      </w:r>
    </w:p>
    <w:p w14:paraId="67DFFC59" w14:textId="77777777" w:rsidR="00C3263D" w:rsidRPr="00B61E56" w:rsidRDefault="00C3263D" w:rsidP="002B0BF8">
      <w:pPr>
        <w:pStyle w:val="ListParagraph"/>
        <w:numPr>
          <w:ilvl w:val="1"/>
          <w:numId w:val="28"/>
        </w:numPr>
        <w:spacing w:after="0" w:line="240" w:lineRule="auto"/>
        <w:ind w:left="709" w:hanging="709"/>
        <w:jc w:val="both"/>
        <w:rPr>
          <w:rFonts w:ascii="Bookman Old Style" w:hAnsi="Bookman Old Style"/>
          <w:sz w:val="24"/>
          <w:szCs w:val="24"/>
        </w:rPr>
      </w:pPr>
      <w:r>
        <w:rPr>
          <w:rFonts w:ascii="Bookman Old Style" w:hAnsi="Bookman Old Style"/>
          <w:b/>
          <w:sz w:val="24"/>
        </w:rPr>
        <w:t>Funcionários cedidos em destacamento</w:t>
      </w:r>
    </w:p>
    <w:p w14:paraId="2536D474" w14:textId="1A6EA187" w:rsidR="002003BF" w:rsidRDefault="00865917" w:rsidP="00C3263D">
      <w:pPr>
        <w:pStyle w:val="ListParagraph"/>
        <w:spacing w:after="0" w:line="240" w:lineRule="auto"/>
        <w:ind w:left="709"/>
        <w:jc w:val="both"/>
        <w:rPr>
          <w:rFonts w:ascii="Bookman Old Style" w:hAnsi="Bookman Old Style"/>
          <w:sz w:val="24"/>
        </w:rPr>
      </w:pPr>
      <w:r>
        <w:rPr>
          <w:rFonts w:ascii="Bookman Old Style" w:hAnsi="Bookman Old Style"/>
          <w:sz w:val="24"/>
        </w:rPr>
        <w:t xml:space="preserve">Relativamente aos funcionários cedidos em destacamento, prevê-se que o posto-chave de Director de Programas venha a beneficiar da cedência de funcionário em destacamento a tempo inteiro por um parlamento membro. Importa assinalar que, embora os funcionários cedidos em destacamento </w:t>
      </w:r>
      <w:r w:rsidR="00D623CC">
        <w:rPr>
          <w:rFonts w:ascii="Bookman Old Style" w:hAnsi="Bookman Old Style"/>
          <w:sz w:val="24"/>
        </w:rPr>
        <w:t xml:space="preserve">tenham possibilitado </w:t>
      </w:r>
      <w:r>
        <w:rPr>
          <w:rFonts w:ascii="Bookman Old Style" w:hAnsi="Bookman Old Style"/>
          <w:sz w:val="24"/>
        </w:rPr>
        <w:t>a realização de poupanças significativas, os que foram destacados em tempo parcial priorizavam naturalmente os seus parlamentos nacionais</w:t>
      </w:r>
      <w:r w:rsidR="00D623CC">
        <w:rPr>
          <w:rFonts w:ascii="Bookman Old Style" w:hAnsi="Bookman Old Style"/>
          <w:sz w:val="24"/>
        </w:rPr>
        <w:t>, que colocavam acima</w:t>
      </w:r>
      <w:r>
        <w:rPr>
          <w:rFonts w:ascii="Bookman Old Style" w:hAnsi="Bookman Old Style"/>
          <w:sz w:val="24"/>
        </w:rPr>
        <w:t xml:space="preserve"> do Fórum, e daí a necessidade de destacamentos a tempo inteiro </w:t>
      </w:r>
      <w:r w:rsidR="00D623CC">
        <w:rPr>
          <w:rFonts w:ascii="Bookman Old Style" w:hAnsi="Bookman Old Style"/>
          <w:sz w:val="24"/>
        </w:rPr>
        <w:t>em</w:t>
      </w:r>
      <w:r>
        <w:rPr>
          <w:rFonts w:ascii="Bookman Old Style" w:hAnsi="Bookman Old Style"/>
          <w:sz w:val="24"/>
        </w:rPr>
        <w:t xml:space="preserve"> postos-chave. </w:t>
      </w:r>
    </w:p>
    <w:p w14:paraId="07F59940" w14:textId="77777777" w:rsidR="00EC59BC" w:rsidRDefault="00EC59BC" w:rsidP="00EC59BC">
      <w:pPr>
        <w:spacing w:after="0" w:line="240" w:lineRule="auto"/>
        <w:jc w:val="both"/>
        <w:rPr>
          <w:rFonts w:ascii="Bookman Old Style" w:hAnsi="Bookman Old Style"/>
          <w:sz w:val="24"/>
          <w:szCs w:val="24"/>
        </w:rPr>
      </w:pPr>
    </w:p>
    <w:p w14:paraId="037C31D1" w14:textId="77777777" w:rsidR="00EC59BC" w:rsidRDefault="00EC59BC" w:rsidP="00EC59BC">
      <w:pPr>
        <w:spacing w:after="0" w:line="240" w:lineRule="auto"/>
        <w:jc w:val="both"/>
        <w:rPr>
          <w:rFonts w:ascii="Bookman Old Style" w:hAnsi="Bookman Old Style"/>
          <w:sz w:val="24"/>
          <w:szCs w:val="24"/>
        </w:rPr>
      </w:pPr>
    </w:p>
    <w:p w14:paraId="002E1815" w14:textId="77777777" w:rsidR="00EC59BC" w:rsidRPr="00EC59BC" w:rsidRDefault="00EC59BC" w:rsidP="00EC59BC">
      <w:pPr>
        <w:spacing w:after="0" w:line="240" w:lineRule="auto"/>
        <w:jc w:val="both"/>
        <w:rPr>
          <w:rFonts w:ascii="Bookman Old Style" w:hAnsi="Bookman Old Style"/>
          <w:sz w:val="24"/>
          <w:szCs w:val="24"/>
        </w:rPr>
      </w:pPr>
    </w:p>
    <w:p w14:paraId="692E1870" w14:textId="77777777" w:rsidR="003B4D57" w:rsidRPr="00B61E56" w:rsidRDefault="003B4D57" w:rsidP="002B0BF8">
      <w:pPr>
        <w:pStyle w:val="ListParagraph"/>
        <w:numPr>
          <w:ilvl w:val="1"/>
          <w:numId w:val="28"/>
        </w:numPr>
        <w:spacing w:after="0" w:line="240" w:lineRule="auto"/>
        <w:ind w:left="709" w:hanging="709"/>
        <w:jc w:val="both"/>
        <w:rPr>
          <w:rFonts w:ascii="Bookman Old Style" w:hAnsi="Bookman Old Style"/>
          <w:b/>
          <w:bCs/>
          <w:sz w:val="24"/>
          <w:szCs w:val="24"/>
        </w:rPr>
      </w:pPr>
      <w:r>
        <w:rPr>
          <w:rFonts w:ascii="Bookman Old Style" w:hAnsi="Bookman Old Style"/>
          <w:b/>
          <w:sz w:val="24"/>
        </w:rPr>
        <w:lastRenderedPageBreak/>
        <w:t>Estabelecimento de contactos e visibilidade</w:t>
      </w:r>
    </w:p>
    <w:p w14:paraId="34910BEE" w14:textId="2F2FD19B" w:rsidR="00A45405" w:rsidRPr="00B61E56" w:rsidRDefault="00004E8B" w:rsidP="003B4D57">
      <w:pPr>
        <w:pStyle w:val="ListParagraph"/>
        <w:spacing w:after="0" w:line="240" w:lineRule="auto"/>
        <w:ind w:left="709"/>
        <w:jc w:val="both"/>
        <w:rPr>
          <w:rFonts w:ascii="Bookman Old Style" w:hAnsi="Bookman Old Style"/>
          <w:sz w:val="24"/>
          <w:szCs w:val="24"/>
        </w:rPr>
      </w:pPr>
      <w:r>
        <w:rPr>
          <w:rFonts w:ascii="Bookman Old Style" w:hAnsi="Bookman Old Style"/>
          <w:sz w:val="24"/>
        </w:rPr>
        <w:t xml:space="preserve">Numa altura em que o Fórum está em transição para um Parlamento regional, tem havido cada vez mais demanda para o Fórum participar nas reuniões de outros organismos parlamentares regionais e a nível mundial tais como o SADC, PAP, a CPA e a União Interparlamentar, a fim de promover a colaboração e a sua visibilidade. Além disso, O Grupo de Trabalho sobre a Transformação integrado pelo Secretariado da SADC e funcionários do Secretariado do FP-SADC vai também continuar a reunir-se, em conformidade com a resolução da 41.ª Cimeira dos Chefes de Estado e de Governo da SADC e do Conselho de Ministros que teve lugar em Agosto de 2021, no Malawi.  </w:t>
      </w:r>
    </w:p>
    <w:p w14:paraId="5888FDD9" w14:textId="77777777" w:rsidR="004219E0" w:rsidRPr="00B61E56" w:rsidRDefault="004219E0" w:rsidP="003B4D57">
      <w:pPr>
        <w:pStyle w:val="ListParagraph"/>
        <w:spacing w:after="0" w:line="240" w:lineRule="auto"/>
        <w:ind w:left="709"/>
        <w:jc w:val="both"/>
        <w:rPr>
          <w:rFonts w:ascii="Bookman Old Style" w:hAnsi="Bookman Old Style"/>
          <w:sz w:val="24"/>
          <w:szCs w:val="24"/>
        </w:rPr>
      </w:pPr>
    </w:p>
    <w:p w14:paraId="50D6E4F9" w14:textId="77777777" w:rsidR="00A720E1" w:rsidRPr="00EC59BC" w:rsidRDefault="00A720E1" w:rsidP="005A3E76">
      <w:pPr>
        <w:pStyle w:val="ListParagraph"/>
        <w:numPr>
          <w:ilvl w:val="1"/>
          <w:numId w:val="28"/>
        </w:numPr>
        <w:spacing w:after="0" w:line="240" w:lineRule="auto"/>
        <w:ind w:left="709" w:hanging="709"/>
        <w:jc w:val="both"/>
        <w:rPr>
          <w:rFonts w:ascii="Bookman Old Style" w:hAnsi="Bookman Old Style"/>
          <w:b/>
          <w:bCs/>
          <w:sz w:val="24"/>
          <w:szCs w:val="24"/>
        </w:rPr>
      </w:pPr>
      <w:r>
        <w:rPr>
          <w:rFonts w:ascii="Bookman Old Style" w:hAnsi="Bookman Old Style"/>
          <w:b/>
          <w:sz w:val="24"/>
        </w:rPr>
        <w:t>Factores catalisadores de custo e contexto</w:t>
      </w:r>
    </w:p>
    <w:p w14:paraId="1B28AAAB" w14:textId="77777777" w:rsidR="00EC59BC" w:rsidRPr="00B61E56" w:rsidRDefault="00EC59BC" w:rsidP="00EC59BC">
      <w:pPr>
        <w:pStyle w:val="ListParagraph"/>
        <w:spacing w:after="0" w:line="240" w:lineRule="auto"/>
        <w:ind w:left="709"/>
        <w:jc w:val="both"/>
        <w:rPr>
          <w:rFonts w:ascii="Bookman Old Style" w:hAnsi="Bookman Old Style"/>
          <w:b/>
          <w:bCs/>
          <w:sz w:val="24"/>
          <w:szCs w:val="24"/>
        </w:rPr>
      </w:pPr>
    </w:p>
    <w:p w14:paraId="0670AFB8" w14:textId="7CB78E86" w:rsidR="004219E0" w:rsidRPr="00EC59BC" w:rsidRDefault="00A720E1" w:rsidP="00EC59BC">
      <w:pPr>
        <w:pStyle w:val="ListParagraph"/>
        <w:numPr>
          <w:ilvl w:val="2"/>
          <w:numId w:val="28"/>
        </w:numPr>
        <w:spacing w:after="0" w:line="240" w:lineRule="auto"/>
        <w:ind w:left="851" w:hanging="851"/>
        <w:jc w:val="both"/>
        <w:rPr>
          <w:rFonts w:ascii="Bookman Old Style" w:hAnsi="Bookman Old Style"/>
          <w:sz w:val="24"/>
          <w:szCs w:val="24"/>
        </w:rPr>
      </w:pPr>
      <w:r>
        <w:rPr>
          <w:rFonts w:ascii="Bookman Old Style" w:hAnsi="Bookman Old Style"/>
          <w:sz w:val="24"/>
        </w:rPr>
        <w:t xml:space="preserve">Os custos de bens e serviços continuam a subir devido à inflação e depreciação do Rand sul-africano/dólar namibiano relativamente a moedas tais como a libra esterlina e o dólar norte-americano. Infelizmente a inflação e </w:t>
      </w:r>
      <w:r w:rsidR="00D623CC">
        <w:rPr>
          <w:rFonts w:ascii="Bookman Old Style" w:hAnsi="Bookman Old Style"/>
          <w:sz w:val="24"/>
        </w:rPr>
        <w:t xml:space="preserve">a </w:t>
      </w:r>
      <w:r>
        <w:rPr>
          <w:rFonts w:ascii="Bookman Old Style" w:hAnsi="Bookman Old Style"/>
          <w:sz w:val="24"/>
        </w:rPr>
        <w:t xml:space="preserve">depreciação das moedas </w:t>
      </w:r>
      <w:r w:rsidR="00D623CC">
        <w:rPr>
          <w:rFonts w:ascii="Bookman Old Style" w:hAnsi="Bookman Old Style"/>
          <w:sz w:val="24"/>
        </w:rPr>
        <w:t>afectam</w:t>
      </w:r>
      <w:r>
        <w:rPr>
          <w:rFonts w:ascii="Bookman Old Style" w:hAnsi="Bookman Old Style"/>
          <w:sz w:val="24"/>
        </w:rPr>
        <w:t xml:space="preserve"> quase todos os países da África Austral e t</w:t>
      </w:r>
      <w:r w:rsidR="00D623CC">
        <w:rPr>
          <w:rFonts w:ascii="Bookman Old Style" w:hAnsi="Bookman Old Style"/>
          <w:sz w:val="24"/>
        </w:rPr>
        <w:t>ê</w:t>
      </w:r>
      <w:r>
        <w:rPr>
          <w:rFonts w:ascii="Bookman Old Style" w:hAnsi="Bookman Old Style"/>
          <w:sz w:val="24"/>
        </w:rPr>
        <w:t>m um impacto sobre os custos das actividades da instituição, a maior parte das quais são realizadas em todos os países membros, obedecendo à tradição do FP-SADC.</w:t>
      </w:r>
    </w:p>
    <w:p w14:paraId="414962E8" w14:textId="77777777" w:rsidR="00EC59BC" w:rsidRPr="00B61E56" w:rsidRDefault="00EC59BC" w:rsidP="00EC59BC">
      <w:pPr>
        <w:pStyle w:val="ListParagraph"/>
        <w:spacing w:after="0" w:line="240" w:lineRule="auto"/>
        <w:ind w:left="851"/>
        <w:jc w:val="both"/>
        <w:rPr>
          <w:rFonts w:ascii="Bookman Old Style" w:hAnsi="Bookman Old Style"/>
          <w:sz w:val="24"/>
          <w:szCs w:val="24"/>
        </w:rPr>
      </w:pPr>
    </w:p>
    <w:p w14:paraId="04C7D7FE" w14:textId="04FFDE87" w:rsidR="002003BF" w:rsidRPr="00B61E56" w:rsidRDefault="0011293D" w:rsidP="00EC59BC">
      <w:pPr>
        <w:pStyle w:val="ListParagraph"/>
        <w:numPr>
          <w:ilvl w:val="2"/>
          <w:numId w:val="28"/>
        </w:numPr>
        <w:spacing w:after="0" w:line="240" w:lineRule="auto"/>
        <w:ind w:left="851" w:hanging="851"/>
        <w:jc w:val="both"/>
        <w:rPr>
          <w:rFonts w:ascii="Bookman Old Style" w:hAnsi="Bookman Old Style"/>
          <w:sz w:val="24"/>
          <w:szCs w:val="24"/>
        </w:rPr>
      </w:pPr>
      <w:r>
        <w:rPr>
          <w:rFonts w:ascii="Bookman Old Style" w:hAnsi="Bookman Old Style"/>
          <w:sz w:val="24"/>
        </w:rPr>
        <w:t xml:space="preserve">À semelhança da proposta </w:t>
      </w:r>
      <w:r w:rsidR="00D623CC">
        <w:rPr>
          <w:rFonts w:ascii="Bookman Old Style" w:hAnsi="Bookman Old Style"/>
          <w:sz w:val="24"/>
        </w:rPr>
        <w:t>de</w:t>
      </w:r>
      <w:r>
        <w:rPr>
          <w:rFonts w:ascii="Bookman Old Style" w:hAnsi="Bookman Old Style"/>
          <w:sz w:val="24"/>
        </w:rPr>
        <w:t xml:space="preserve"> orçamento do exercício de 2022/2023, a abordagem adoptada na elaboração da proposta do orçamento de 2023/2024 foi cautelosa. O Secretariado tem inovado no sentido de assegurar a gestão dos custos que foi felizmente reforçada pela nova forma de realizar as actividades, por sinal causada pela pandemia de COVID-19. Além disso, a prioridade tem sido acordada às actividades nucleares do Fórum.</w:t>
      </w:r>
    </w:p>
    <w:p w14:paraId="2EB01503" w14:textId="77777777" w:rsidR="00370E51" w:rsidRPr="00B61E56" w:rsidRDefault="00370E51" w:rsidP="00370E51">
      <w:pPr>
        <w:pStyle w:val="ListParagraph"/>
        <w:spacing w:after="0" w:line="240" w:lineRule="auto"/>
        <w:ind w:left="709"/>
        <w:jc w:val="both"/>
        <w:rPr>
          <w:rFonts w:ascii="Bookman Old Style" w:hAnsi="Bookman Old Style"/>
          <w:b/>
          <w:bCs/>
          <w:sz w:val="24"/>
          <w:szCs w:val="24"/>
        </w:rPr>
      </w:pPr>
    </w:p>
    <w:p w14:paraId="4C1B90A4" w14:textId="77777777" w:rsidR="00C86336" w:rsidRPr="00B61E56" w:rsidRDefault="004A596E" w:rsidP="005A3E76">
      <w:pPr>
        <w:pStyle w:val="ListParagraph"/>
        <w:numPr>
          <w:ilvl w:val="1"/>
          <w:numId w:val="28"/>
        </w:numPr>
        <w:spacing w:after="0" w:line="240" w:lineRule="auto"/>
        <w:ind w:left="709" w:hanging="709"/>
        <w:jc w:val="both"/>
        <w:rPr>
          <w:rFonts w:ascii="Bookman Old Style" w:hAnsi="Bookman Old Style"/>
          <w:sz w:val="24"/>
          <w:szCs w:val="24"/>
        </w:rPr>
      </w:pPr>
      <w:r>
        <w:rPr>
          <w:rFonts w:ascii="Bookman Old Style" w:hAnsi="Bookman Old Style"/>
          <w:b/>
          <w:bCs/>
          <w:sz w:val="24"/>
        </w:rPr>
        <w:t>Continuação das operações</w:t>
      </w:r>
      <w:r>
        <w:rPr>
          <w:rFonts w:ascii="Bookman Old Style" w:hAnsi="Bookman Old Style"/>
          <w:sz w:val="24"/>
        </w:rPr>
        <w:t xml:space="preserve"> </w:t>
      </w:r>
    </w:p>
    <w:p w14:paraId="7764F3F5" w14:textId="13846E42" w:rsidR="00C447E3" w:rsidRPr="00B61E56" w:rsidRDefault="00356405" w:rsidP="00C86336">
      <w:pPr>
        <w:spacing w:after="0" w:line="240" w:lineRule="auto"/>
        <w:ind w:left="709"/>
        <w:jc w:val="both"/>
        <w:rPr>
          <w:rFonts w:ascii="Bookman Old Style" w:hAnsi="Bookman Old Style"/>
          <w:sz w:val="24"/>
          <w:szCs w:val="24"/>
        </w:rPr>
      </w:pPr>
      <w:r>
        <w:rPr>
          <w:rFonts w:ascii="Bookman Old Style" w:hAnsi="Bookman Old Style"/>
          <w:sz w:val="24"/>
        </w:rPr>
        <w:t>A proposta do orçamento de 2023/2024 tem um excedente mínimo projectado, em comparação com os anos anteriores. É, portanto, imperativo que os membros analisem a situação financeira da instituição com vista à resolução, não para aumentar as contribuições dos membros tendo em conta os custos cada vez maiores</w:t>
      </w:r>
      <w:r w:rsidR="00D623CC">
        <w:rPr>
          <w:rFonts w:ascii="Bookman Old Style" w:hAnsi="Bookman Old Style"/>
          <w:sz w:val="24"/>
        </w:rPr>
        <w:t>,</w:t>
      </w:r>
      <w:r>
        <w:rPr>
          <w:rFonts w:ascii="Bookman Old Style" w:hAnsi="Bookman Old Style"/>
          <w:sz w:val="24"/>
        </w:rPr>
        <w:t xml:space="preserve"> devido à inflação, </w:t>
      </w:r>
      <w:r w:rsidR="00D623CC">
        <w:rPr>
          <w:rFonts w:ascii="Bookman Old Style" w:hAnsi="Bookman Old Style"/>
          <w:sz w:val="24"/>
        </w:rPr>
        <w:t xml:space="preserve">à </w:t>
      </w:r>
      <w:r>
        <w:rPr>
          <w:rFonts w:ascii="Bookman Old Style" w:hAnsi="Bookman Old Style"/>
          <w:sz w:val="24"/>
        </w:rPr>
        <w:t xml:space="preserve">depreciação da moeda local, subida das taxas de juro e ausência de financiamento de doadores. Até 2026, deve-se já executar uma estratégia visando acautelar os riscos ligados à continuação das operações. </w:t>
      </w:r>
    </w:p>
    <w:p w14:paraId="4C519B09" w14:textId="7A5BF7BC" w:rsidR="0011293D" w:rsidRPr="00B61E56" w:rsidRDefault="0011293D" w:rsidP="00480C2B">
      <w:pPr>
        <w:pStyle w:val="ListParagraph"/>
        <w:spacing w:after="0" w:line="240" w:lineRule="auto"/>
        <w:ind w:left="0"/>
        <w:jc w:val="both"/>
        <w:rPr>
          <w:rFonts w:ascii="Bookman Old Style" w:hAnsi="Bookman Old Style"/>
          <w:b/>
          <w:bCs/>
          <w:sz w:val="24"/>
          <w:szCs w:val="24"/>
        </w:rPr>
      </w:pPr>
    </w:p>
    <w:p w14:paraId="3D115DD6" w14:textId="5E12BB29" w:rsidR="00CF1A6B" w:rsidRPr="00B61E56" w:rsidRDefault="00CF1A6B" w:rsidP="002B0BF8">
      <w:pPr>
        <w:pStyle w:val="ListParagraph"/>
        <w:numPr>
          <w:ilvl w:val="0"/>
          <w:numId w:val="29"/>
        </w:numPr>
        <w:spacing w:after="0" w:line="240" w:lineRule="auto"/>
        <w:jc w:val="both"/>
        <w:rPr>
          <w:rFonts w:ascii="Bookman Old Style" w:hAnsi="Bookman Old Style"/>
          <w:b/>
          <w:bCs/>
          <w:sz w:val="24"/>
          <w:szCs w:val="24"/>
        </w:rPr>
      </w:pPr>
      <w:r>
        <w:rPr>
          <w:rFonts w:ascii="Bookman Old Style" w:hAnsi="Bookman Old Style"/>
          <w:b/>
          <w:sz w:val="24"/>
        </w:rPr>
        <w:t>PROPOSTA DO ORÇAMENTO DO EXERCÍCIO DE 2023/2024</w:t>
      </w:r>
    </w:p>
    <w:p w14:paraId="58AFA846" w14:textId="407BE501" w:rsidR="00F56C57" w:rsidRPr="00B61E56" w:rsidRDefault="00A31CA7" w:rsidP="00DF77E9">
      <w:pPr>
        <w:pStyle w:val="ListParagraph"/>
        <w:spacing w:after="0" w:line="240" w:lineRule="auto"/>
        <w:ind w:left="709"/>
        <w:jc w:val="both"/>
        <w:rPr>
          <w:rFonts w:ascii="Bookman Old Style" w:hAnsi="Bookman Old Style"/>
          <w:sz w:val="24"/>
          <w:szCs w:val="24"/>
        </w:rPr>
      </w:pPr>
      <w:r>
        <w:rPr>
          <w:rFonts w:ascii="Bookman Old Style" w:hAnsi="Bookman Old Style"/>
          <w:sz w:val="24"/>
        </w:rPr>
        <w:t xml:space="preserve">Junto se anexa a proposta de orçamento do exercício financeiro 2022/2023, </w:t>
      </w:r>
      <w:r w:rsidR="00D623CC">
        <w:rPr>
          <w:rFonts w:ascii="Bookman Old Style" w:hAnsi="Bookman Old Style"/>
          <w:sz w:val="24"/>
        </w:rPr>
        <w:t>ro</w:t>
      </w:r>
      <w:r>
        <w:rPr>
          <w:rFonts w:ascii="Bookman Old Style" w:hAnsi="Bookman Old Style"/>
          <w:sz w:val="24"/>
        </w:rPr>
        <w:t xml:space="preserve">tulada </w:t>
      </w:r>
      <w:r>
        <w:rPr>
          <w:rFonts w:ascii="Bookman Old Style" w:hAnsi="Bookman Old Style"/>
          <w:b/>
          <w:bCs/>
          <w:sz w:val="24"/>
        </w:rPr>
        <w:t>Anexo BOO1 com mapas de apoio A a C e 1 a 20</w:t>
      </w:r>
      <w:r>
        <w:rPr>
          <w:rFonts w:ascii="Bookman Old Style" w:hAnsi="Bookman Old Style"/>
          <w:sz w:val="24"/>
        </w:rPr>
        <w:t>.</w:t>
      </w:r>
    </w:p>
    <w:p w14:paraId="5B375C93" w14:textId="329EE90F" w:rsidR="00EF544E" w:rsidRDefault="00EF544E" w:rsidP="002003BF">
      <w:pPr>
        <w:spacing w:after="0" w:line="240" w:lineRule="auto"/>
        <w:ind w:left="709" w:hanging="709"/>
        <w:jc w:val="both"/>
        <w:rPr>
          <w:rFonts w:ascii="Bookman Old Style" w:hAnsi="Bookman Old Style"/>
          <w:sz w:val="24"/>
          <w:szCs w:val="24"/>
        </w:rPr>
      </w:pPr>
    </w:p>
    <w:p w14:paraId="179B649F" w14:textId="77777777" w:rsidR="00EC59BC" w:rsidRDefault="00EC59BC" w:rsidP="002003BF">
      <w:pPr>
        <w:spacing w:after="0" w:line="240" w:lineRule="auto"/>
        <w:ind w:left="709" w:hanging="709"/>
        <w:jc w:val="both"/>
        <w:rPr>
          <w:rFonts w:ascii="Bookman Old Style" w:hAnsi="Bookman Old Style"/>
          <w:sz w:val="24"/>
          <w:szCs w:val="24"/>
        </w:rPr>
      </w:pPr>
    </w:p>
    <w:p w14:paraId="4470B6D9" w14:textId="77777777" w:rsidR="00EC59BC" w:rsidRPr="00B61E56" w:rsidRDefault="00EC59BC" w:rsidP="002003BF">
      <w:pPr>
        <w:spacing w:after="0" w:line="240" w:lineRule="auto"/>
        <w:ind w:left="709" w:hanging="709"/>
        <w:jc w:val="both"/>
        <w:rPr>
          <w:rFonts w:ascii="Bookman Old Style" w:hAnsi="Bookman Old Style"/>
          <w:sz w:val="24"/>
          <w:szCs w:val="24"/>
        </w:rPr>
      </w:pPr>
    </w:p>
    <w:p w14:paraId="300AC0E3" w14:textId="25FCC797" w:rsidR="000D3CDE" w:rsidRPr="00B61E56" w:rsidRDefault="006C031A" w:rsidP="002B0BF8">
      <w:pPr>
        <w:pStyle w:val="ListParagraph"/>
        <w:numPr>
          <w:ilvl w:val="0"/>
          <w:numId w:val="29"/>
        </w:numPr>
        <w:spacing w:after="0" w:line="240" w:lineRule="auto"/>
        <w:ind w:left="709" w:hanging="709"/>
        <w:jc w:val="both"/>
        <w:rPr>
          <w:rFonts w:ascii="Bookman Old Style" w:hAnsi="Bookman Old Style"/>
          <w:b/>
          <w:sz w:val="24"/>
          <w:szCs w:val="24"/>
        </w:rPr>
      </w:pPr>
      <w:r>
        <w:rPr>
          <w:rFonts w:ascii="Bookman Old Style" w:hAnsi="Bookman Old Style"/>
          <w:b/>
          <w:sz w:val="24"/>
        </w:rPr>
        <w:lastRenderedPageBreak/>
        <w:t xml:space="preserve">APONTAMENTOS QUE ACOMPANHAM O ORÇAMENTO: RECEITAS ORÇAMENTADAS </w:t>
      </w:r>
    </w:p>
    <w:p w14:paraId="2796801C" w14:textId="77777777" w:rsidR="0067097C" w:rsidRPr="00B61E56" w:rsidRDefault="0067097C" w:rsidP="002003BF">
      <w:pPr>
        <w:pStyle w:val="ListParagraph"/>
        <w:spacing w:after="0" w:line="240" w:lineRule="auto"/>
        <w:ind w:left="709" w:hanging="709"/>
        <w:jc w:val="both"/>
        <w:rPr>
          <w:rFonts w:ascii="Bookman Old Style" w:hAnsi="Bookman Old Style"/>
          <w:b/>
          <w:bCs/>
          <w:sz w:val="24"/>
          <w:szCs w:val="24"/>
        </w:rPr>
      </w:pPr>
    </w:p>
    <w:p w14:paraId="53BD7C20" w14:textId="77777777" w:rsidR="0067097C" w:rsidRPr="00B61E56" w:rsidRDefault="0067097C" w:rsidP="002B0BF8">
      <w:pPr>
        <w:pStyle w:val="ListParagraph"/>
        <w:numPr>
          <w:ilvl w:val="1"/>
          <w:numId w:val="29"/>
        </w:numPr>
        <w:spacing w:after="0" w:line="240" w:lineRule="auto"/>
        <w:ind w:left="709" w:hanging="709"/>
        <w:jc w:val="both"/>
        <w:rPr>
          <w:rFonts w:ascii="Bookman Old Style" w:hAnsi="Bookman Old Style"/>
          <w:b/>
          <w:bCs/>
          <w:sz w:val="24"/>
          <w:szCs w:val="24"/>
        </w:rPr>
      </w:pPr>
      <w:r>
        <w:rPr>
          <w:rFonts w:ascii="Bookman Old Style" w:hAnsi="Bookman Old Style"/>
          <w:b/>
          <w:sz w:val="24"/>
        </w:rPr>
        <w:t>O art.º 21.º da Constituição do FP-SADC prevê o seguinte sobre as suas Fontes de Financiamento.</w:t>
      </w:r>
    </w:p>
    <w:p w14:paraId="737AC2E1" w14:textId="77777777" w:rsidR="00DF77E9" w:rsidRPr="00197867" w:rsidRDefault="00DF77E9" w:rsidP="00DF77E9">
      <w:pPr>
        <w:pStyle w:val="NoSpacing"/>
        <w:ind w:left="709"/>
        <w:jc w:val="both"/>
        <w:rPr>
          <w:rFonts w:ascii="Bookman Old Style" w:hAnsi="Bookman Old Style"/>
          <w:szCs w:val="24"/>
        </w:rPr>
      </w:pPr>
    </w:p>
    <w:p w14:paraId="274FBC2E" w14:textId="5BBCC267" w:rsidR="0067097C" w:rsidRPr="00B61E56" w:rsidRDefault="0067097C" w:rsidP="00DF77E9">
      <w:pPr>
        <w:pStyle w:val="NoSpacing"/>
        <w:ind w:left="709"/>
        <w:jc w:val="both"/>
        <w:rPr>
          <w:rFonts w:ascii="Bookman Old Style" w:hAnsi="Bookman Old Style"/>
          <w:szCs w:val="24"/>
        </w:rPr>
      </w:pPr>
      <w:r>
        <w:rPr>
          <w:rFonts w:ascii="Bookman Old Style" w:hAnsi="Bookman Old Style"/>
        </w:rPr>
        <w:t>As receitas do Fórum provêm das seguintes fontes:</w:t>
      </w:r>
    </w:p>
    <w:p w14:paraId="38F30169" w14:textId="77777777" w:rsidR="0067097C" w:rsidRPr="00197867" w:rsidRDefault="0067097C" w:rsidP="002003BF">
      <w:pPr>
        <w:pStyle w:val="NoSpacing"/>
        <w:ind w:left="709" w:hanging="709"/>
        <w:jc w:val="both"/>
        <w:rPr>
          <w:rFonts w:ascii="Bookman Old Style" w:hAnsi="Bookman Old Style"/>
          <w:szCs w:val="24"/>
        </w:rPr>
      </w:pPr>
    </w:p>
    <w:p w14:paraId="5D89E4AC" w14:textId="77777777" w:rsidR="0067097C" w:rsidRPr="00B61E56" w:rsidRDefault="0067097C" w:rsidP="00EC59BC">
      <w:pPr>
        <w:pStyle w:val="NoSpacing"/>
        <w:numPr>
          <w:ilvl w:val="0"/>
          <w:numId w:val="7"/>
        </w:numPr>
        <w:ind w:left="1134" w:hanging="425"/>
        <w:jc w:val="both"/>
        <w:rPr>
          <w:rFonts w:ascii="Bookman Old Style" w:hAnsi="Bookman Old Style"/>
          <w:szCs w:val="24"/>
        </w:rPr>
      </w:pPr>
      <w:r>
        <w:rPr>
          <w:rFonts w:ascii="Bookman Old Style" w:hAnsi="Bookman Old Style"/>
        </w:rPr>
        <w:t>contribuições obrigatórias anuais pagas pelos parlamentos membros, determinadas pela Assembleia Plenária, sob recomendação da Comissão Executiva;</w:t>
      </w:r>
    </w:p>
    <w:p w14:paraId="0E1677EC" w14:textId="77777777" w:rsidR="0067097C" w:rsidRPr="00197867" w:rsidRDefault="0067097C" w:rsidP="00EC59BC">
      <w:pPr>
        <w:pStyle w:val="NoSpacing"/>
        <w:ind w:left="1134" w:hanging="425"/>
        <w:jc w:val="both"/>
        <w:rPr>
          <w:rFonts w:ascii="Bookman Old Style" w:hAnsi="Bookman Old Style"/>
          <w:szCs w:val="24"/>
        </w:rPr>
      </w:pPr>
    </w:p>
    <w:p w14:paraId="0F035F9F" w14:textId="77777777" w:rsidR="0067097C" w:rsidRPr="00B61E56" w:rsidRDefault="0067097C" w:rsidP="00EC59BC">
      <w:pPr>
        <w:pStyle w:val="NoSpacing"/>
        <w:ind w:left="1134" w:hanging="425"/>
        <w:jc w:val="both"/>
        <w:rPr>
          <w:rFonts w:ascii="Bookman Old Style" w:hAnsi="Bookman Old Style"/>
          <w:szCs w:val="24"/>
        </w:rPr>
      </w:pPr>
      <w:r>
        <w:rPr>
          <w:rFonts w:ascii="Bookman Old Style" w:hAnsi="Bookman Old Style"/>
        </w:rPr>
        <w:t>(b)</w:t>
      </w:r>
      <w:r>
        <w:rPr>
          <w:rFonts w:ascii="Bookman Old Style" w:hAnsi="Bookman Old Style"/>
        </w:rPr>
        <w:tab/>
        <w:t xml:space="preserve">subvenções ou doações de governos, da SADC e de outras organizações internacionais e instituições de beneficência, incluindo organizações parlamentares internacionais; </w:t>
      </w:r>
    </w:p>
    <w:p w14:paraId="0F7803CC" w14:textId="77777777" w:rsidR="0067097C" w:rsidRPr="00197867" w:rsidRDefault="0067097C" w:rsidP="00EC59BC">
      <w:pPr>
        <w:pStyle w:val="NoSpacing"/>
        <w:ind w:left="1134" w:hanging="425"/>
        <w:jc w:val="both"/>
        <w:rPr>
          <w:rFonts w:ascii="Bookman Old Style" w:hAnsi="Bookman Old Style"/>
          <w:szCs w:val="24"/>
        </w:rPr>
      </w:pPr>
    </w:p>
    <w:p w14:paraId="0A3662F5" w14:textId="77777777" w:rsidR="0067097C" w:rsidRPr="00B61E56" w:rsidRDefault="0067097C" w:rsidP="00EC59BC">
      <w:pPr>
        <w:pStyle w:val="NoSpacing"/>
        <w:ind w:left="1134" w:hanging="425"/>
        <w:jc w:val="both"/>
        <w:rPr>
          <w:rFonts w:ascii="Bookman Old Style" w:hAnsi="Bookman Old Style"/>
          <w:szCs w:val="24"/>
        </w:rPr>
      </w:pPr>
      <w:r>
        <w:rPr>
          <w:rFonts w:ascii="Bookman Old Style" w:hAnsi="Bookman Old Style"/>
        </w:rPr>
        <w:t>[c)</w:t>
      </w:r>
      <w:r>
        <w:rPr>
          <w:rFonts w:ascii="Bookman Old Style" w:hAnsi="Bookman Old Style"/>
        </w:rPr>
        <w:tab/>
        <w:t>várias actividades de angariação de fundos aprovadas pela Assembleia Plenária, sob recomendação da Comissão Executiva; e</w:t>
      </w:r>
    </w:p>
    <w:p w14:paraId="637F0D2B" w14:textId="77777777" w:rsidR="0067097C" w:rsidRPr="00197867" w:rsidRDefault="0067097C" w:rsidP="00EC59BC">
      <w:pPr>
        <w:pStyle w:val="NoSpacing"/>
        <w:ind w:left="1134" w:hanging="425"/>
        <w:jc w:val="both"/>
        <w:rPr>
          <w:rFonts w:ascii="Bookman Old Style" w:hAnsi="Bookman Old Style"/>
          <w:szCs w:val="24"/>
        </w:rPr>
      </w:pPr>
    </w:p>
    <w:p w14:paraId="1C29255B" w14:textId="77777777" w:rsidR="0067097C" w:rsidRPr="00B61E56" w:rsidRDefault="0067097C" w:rsidP="00EC59BC">
      <w:pPr>
        <w:pStyle w:val="NoSpacing"/>
        <w:ind w:left="1134" w:hanging="425"/>
        <w:jc w:val="both"/>
        <w:rPr>
          <w:rFonts w:ascii="Bookman Old Style" w:hAnsi="Bookman Old Style"/>
          <w:szCs w:val="24"/>
        </w:rPr>
      </w:pPr>
      <w:r>
        <w:rPr>
          <w:rFonts w:ascii="Bookman Old Style" w:hAnsi="Bookman Old Style"/>
        </w:rPr>
        <w:t>(d)</w:t>
      </w:r>
      <w:r>
        <w:rPr>
          <w:rFonts w:ascii="Bookman Old Style" w:hAnsi="Bookman Old Style"/>
        </w:rPr>
        <w:tab/>
        <w:t>quaisquer outras fontes aprovadas pela Assembleia Plenária.</w:t>
      </w:r>
    </w:p>
    <w:p w14:paraId="0764264D" w14:textId="77777777" w:rsidR="00E111F6" w:rsidRPr="00B61E56" w:rsidRDefault="00E111F6" w:rsidP="002003BF">
      <w:pPr>
        <w:spacing w:after="0" w:line="240" w:lineRule="auto"/>
        <w:ind w:left="709" w:hanging="709"/>
        <w:jc w:val="both"/>
        <w:rPr>
          <w:rFonts w:ascii="Bookman Old Style" w:hAnsi="Bookman Old Style"/>
          <w:b/>
          <w:sz w:val="24"/>
          <w:szCs w:val="24"/>
        </w:rPr>
      </w:pPr>
    </w:p>
    <w:p w14:paraId="771DC185" w14:textId="1F2B4D50" w:rsidR="00FE5FEE" w:rsidRPr="00B61E56" w:rsidRDefault="00E111F6" w:rsidP="002003BF">
      <w:pPr>
        <w:spacing w:after="0" w:line="240" w:lineRule="auto"/>
        <w:ind w:left="709" w:hanging="709"/>
        <w:jc w:val="both"/>
        <w:rPr>
          <w:rFonts w:ascii="Bookman Old Style" w:hAnsi="Bookman Old Style"/>
          <w:b/>
          <w:sz w:val="24"/>
          <w:szCs w:val="24"/>
        </w:rPr>
      </w:pPr>
      <w:r>
        <w:rPr>
          <w:rFonts w:ascii="Bookman Old Style" w:hAnsi="Bookman Old Style"/>
          <w:b/>
          <w:sz w:val="24"/>
        </w:rPr>
        <w:t>4.2.</w:t>
      </w:r>
      <w:r>
        <w:rPr>
          <w:rFonts w:ascii="Bookman Old Style" w:hAnsi="Bookman Old Style"/>
          <w:b/>
          <w:sz w:val="24"/>
        </w:rPr>
        <w:tab/>
        <w:t>Contribuições obrigatórias: N$21.148.050</w:t>
      </w:r>
    </w:p>
    <w:p w14:paraId="4B960AEB" w14:textId="17A05387" w:rsidR="008D39B7" w:rsidRPr="00B61E56" w:rsidRDefault="006B0E7D" w:rsidP="002003BF">
      <w:pPr>
        <w:pStyle w:val="ListParagraph"/>
        <w:spacing w:after="0" w:line="240" w:lineRule="auto"/>
        <w:ind w:left="709"/>
        <w:jc w:val="both"/>
        <w:rPr>
          <w:rFonts w:ascii="Bookman Old Style" w:hAnsi="Bookman Old Style"/>
          <w:strike/>
          <w:sz w:val="24"/>
          <w:szCs w:val="24"/>
        </w:rPr>
      </w:pPr>
      <w:r>
        <w:rPr>
          <w:rFonts w:ascii="Bookman Old Style" w:hAnsi="Bookman Old Style"/>
          <w:sz w:val="24"/>
        </w:rPr>
        <w:t>As contribuições obrigatórias pagas pelos membros cifram-se em N$21.148.050 no exercício financeiro 2023/2024, cada um dos catorze países membros contribuindo um montante de N$1.501.500 por ano. A contribuição das Seicheles fixa-se em N$127.050 por ano.</w:t>
      </w:r>
    </w:p>
    <w:p w14:paraId="06E99A38" w14:textId="77777777" w:rsidR="00E111F6" w:rsidRPr="00B61E56" w:rsidRDefault="00E111F6" w:rsidP="002003BF">
      <w:pPr>
        <w:pStyle w:val="ListParagraph"/>
        <w:spacing w:after="0" w:line="240" w:lineRule="auto"/>
        <w:ind w:left="709" w:hanging="709"/>
        <w:jc w:val="both"/>
        <w:rPr>
          <w:rFonts w:ascii="Bookman Old Style" w:hAnsi="Bookman Old Style"/>
          <w:sz w:val="24"/>
          <w:szCs w:val="24"/>
        </w:rPr>
      </w:pPr>
    </w:p>
    <w:p w14:paraId="4F723C4D" w14:textId="52C122E9" w:rsidR="0030139E" w:rsidRPr="00B61E56" w:rsidRDefault="00E111F6" w:rsidP="0030139E">
      <w:pPr>
        <w:spacing w:after="0" w:line="240" w:lineRule="auto"/>
        <w:ind w:left="709" w:hanging="709"/>
        <w:jc w:val="both"/>
        <w:rPr>
          <w:rFonts w:ascii="Bookman Old Style" w:hAnsi="Bookman Old Style"/>
          <w:b/>
          <w:bCs/>
          <w:sz w:val="24"/>
          <w:szCs w:val="24"/>
        </w:rPr>
      </w:pPr>
      <w:r>
        <w:rPr>
          <w:rFonts w:ascii="Bookman Old Style" w:hAnsi="Bookman Old Style"/>
          <w:b/>
          <w:sz w:val="24"/>
        </w:rPr>
        <w:t>4.3.</w:t>
      </w:r>
      <w:r>
        <w:rPr>
          <w:rFonts w:ascii="Bookman Old Style" w:hAnsi="Bookman Old Style"/>
          <w:b/>
          <w:sz w:val="24"/>
        </w:rPr>
        <w:tab/>
        <w:t>Outras Receitas N$7.000.000</w:t>
      </w:r>
    </w:p>
    <w:p w14:paraId="0D70D39B" w14:textId="541AC121" w:rsidR="00062689" w:rsidRPr="00B61E56" w:rsidRDefault="00062689" w:rsidP="002003BF">
      <w:pPr>
        <w:spacing w:after="0" w:line="240" w:lineRule="auto"/>
        <w:ind w:left="709" w:hanging="709"/>
        <w:jc w:val="both"/>
        <w:rPr>
          <w:rFonts w:ascii="Bookman Old Style" w:hAnsi="Bookman Old Style"/>
          <w:b/>
          <w:sz w:val="24"/>
          <w:szCs w:val="24"/>
        </w:rPr>
      </w:pPr>
    </w:p>
    <w:p w14:paraId="5599AB48" w14:textId="4EB658A1" w:rsidR="00F54C08" w:rsidRPr="00B61E56" w:rsidRDefault="00E111F6" w:rsidP="005D7317">
      <w:pPr>
        <w:spacing w:after="0" w:line="240" w:lineRule="auto"/>
        <w:ind w:left="709" w:hanging="709"/>
        <w:jc w:val="both"/>
        <w:rPr>
          <w:rFonts w:ascii="Bookman Old Style" w:hAnsi="Bookman Old Style"/>
          <w:sz w:val="24"/>
          <w:szCs w:val="24"/>
        </w:rPr>
      </w:pPr>
      <w:r>
        <w:rPr>
          <w:rFonts w:ascii="Bookman Old Style" w:hAnsi="Bookman Old Style"/>
          <w:sz w:val="24"/>
        </w:rPr>
        <w:t>4.3.1.</w:t>
      </w:r>
      <w:r>
        <w:rPr>
          <w:rFonts w:ascii="Bookman Old Style" w:hAnsi="Bookman Old Style"/>
          <w:sz w:val="24"/>
        </w:rPr>
        <w:tab/>
        <w:t>A rubrica Outras Receitas totaliza N$7.000.000 como apresentado no mapa que se segue:</w:t>
      </w:r>
    </w:p>
    <w:p w14:paraId="032CD23A" w14:textId="4ACE0AB8" w:rsidR="00D52C69" w:rsidRPr="00B61E56" w:rsidRDefault="00D52C69" w:rsidP="00E61FDC">
      <w:pPr>
        <w:spacing w:after="0" w:line="240" w:lineRule="auto"/>
        <w:jc w:val="both"/>
        <w:rPr>
          <w:rFonts w:ascii="Bookman Old Style" w:hAnsi="Bookman Old Style"/>
          <w:sz w:val="24"/>
          <w:szCs w:val="24"/>
        </w:rPr>
      </w:pPr>
    </w:p>
    <w:p w14:paraId="5D7E0D68" w14:textId="47D54372" w:rsidR="00E111F6" w:rsidRPr="00B61E56" w:rsidRDefault="00E111F6" w:rsidP="00E61FDC">
      <w:pPr>
        <w:spacing w:after="0" w:line="240" w:lineRule="auto"/>
        <w:jc w:val="both"/>
        <w:rPr>
          <w:rFonts w:ascii="Bookman Old Style" w:hAnsi="Bookman Old Style"/>
          <w:sz w:val="24"/>
          <w:szCs w:val="24"/>
        </w:rPr>
      </w:pPr>
    </w:p>
    <w:tbl>
      <w:tblPr>
        <w:tblW w:w="7148" w:type="dxa"/>
        <w:tblInd w:w="709" w:type="dxa"/>
        <w:tblLook w:val="04A0" w:firstRow="1" w:lastRow="0" w:firstColumn="1" w:lastColumn="0" w:noHBand="0" w:noVBand="1"/>
      </w:tblPr>
      <w:tblGrid>
        <w:gridCol w:w="328"/>
        <w:gridCol w:w="5280"/>
        <w:gridCol w:w="1540"/>
      </w:tblGrid>
      <w:tr w:rsidR="0034677E" w:rsidRPr="00B61E56" w14:paraId="3B3126B0" w14:textId="77777777" w:rsidTr="00EC59BC">
        <w:trPr>
          <w:trHeight w:val="288"/>
        </w:trPr>
        <w:tc>
          <w:tcPr>
            <w:tcW w:w="328" w:type="dxa"/>
            <w:tcBorders>
              <w:top w:val="nil"/>
              <w:left w:val="nil"/>
              <w:bottom w:val="nil"/>
              <w:right w:val="nil"/>
            </w:tcBorders>
            <w:shd w:val="clear" w:color="auto" w:fill="auto"/>
            <w:noWrap/>
            <w:vAlign w:val="bottom"/>
            <w:hideMark/>
          </w:tcPr>
          <w:p w14:paraId="66B33CC9" w14:textId="77777777" w:rsidR="0034677E" w:rsidRPr="00B61E56" w:rsidRDefault="0034677E" w:rsidP="0034677E">
            <w:pPr>
              <w:spacing w:after="0" w:line="240" w:lineRule="auto"/>
              <w:rPr>
                <w:rFonts w:ascii="Times New Roman" w:eastAsia="Times New Roman" w:hAnsi="Times New Roman" w:cs="Times New Roman"/>
                <w:sz w:val="24"/>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FC83C" w14:textId="77777777" w:rsidR="0034677E" w:rsidRPr="00B61E56" w:rsidRDefault="0034677E" w:rsidP="0034677E">
            <w:pPr>
              <w:spacing w:after="0" w:line="240" w:lineRule="auto"/>
              <w:rPr>
                <w:rFonts w:ascii="Calibri" w:eastAsia="Times New Roman" w:hAnsi="Calibri" w:cs="Calibri"/>
                <w:color w:val="000000"/>
              </w:rPr>
            </w:pPr>
            <w:r>
              <w:rPr>
                <w:rFonts w:ascii="Calibri" w:hAnsi="Calibri"/>
                <w:color w:val="000000"/>
              </w:rPr>
              <w:t>FONTE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2157C7" w14:textId="77777777" w:rsidR="0034677E" w:rsidRPr="00B61E56" w:rsidRDefault="0034677E" w:rsidP="0034677E">
            <w:pPr>
              <w:spacing w:after="0" w:line="240" w:lineRule="auto"/>
              <w:rPr>
                <w:rFonts w:ascii="Calibri" w:eastAsia="Times New Roman" w:hAnsi="Calibri" w:cs="Calibri"/>
                <w:color w:val="000000"/>
              </w:rPr>
            </w:pPr>
            <w:r>
              <w:rPr>
                <w:rFonts w:ascii="Calibri" w:hAnsi="Calibri"/>
                <w:color w:val="000000"/>
              </w:rPr>
              <w:t>VALOR EM N$</w:t>
            </w:r>
          </w:p>
        </w:tc>
      </w:tr>
      <w:tr w:rsidR="0034677E" w:rsidRPr="00B61E56" w14:paraId="3661C8AE" w14:textId="77777777" w:rsidTr="00EC59BC">
        <w:trPr>
          <w:trHeight w:val="288"/>
        </w:trPr>
        <w:tc>
          <w:tcPr>
            <w:tcW w:w="328" w:type="dxa"/>
            <w:tcBorders>
              <w:top w:val="nil"/>
              <w:left w:val="nil"/>
              <w:bottom w:val="nil"/>
              <w:right w:val="nil"/>
            </w:tcBorders>
            <w:shd w:val="clear" w:color="auto" w:fill="auto"/>
            <w:noWrap/>
            <w:vAlign w:val="bottom"/>
            <w:hideMark/>
          </w:tcPr>
          <w:p w14:paraId="67A60D05" w14:textId="77777777" w:rsidR="0034677E" w:rsidRPr="00B61E56" w:rsidRDefault="0034677E" w:rsidP="0034677E">
            <w:pPr>
              <w:spacing w:after="0" w:line="240" w:lineRule="auto"/>
              <w:jc w:val="right"/>
              <w:rPr>
                <w:rFonts w:ascii="Calibri" w:eastAsia="Times New Roman" w:hAnsi="Calibri" w:cs="Calibri"/>
                <w:color w:val="000000"/>
              </w:rPr>
            </w:pPr>
            <w:r>
              <w:rPr>
                <w:rFonts w:ascii="Calibri" w:hAnsi="Calibri"/>
                <w:color w:val="000000"/>
              </w:rPr>
              <w:t>1</w:t>
            </w:r>
          </w:p>
        </w:tc>
        <w:tc>
          <w:tcPr>
            <w:tcW w:w="5280" w:type="dxa"/>
            <w:tcBorders>
              <w:top w:val="nil"/>
              <w:left w:val="single" w:sz="4" w:space="0" w:color="auto"/>
              <w:bottom w:val="single" w:sz="4" w:space="0" w:color="auto"/>
              <w:right w:val="single" w:sz="4" w:space="0" w:color="auto"/>
            </w:tcBorders>
            <w:shd w:val="clear" w:color="auto" w:fill="auto"/>
            <w:noWrap/>
            <w:vAlign w:val="bottom"/>
            <w:hideMark/>
          </w:tcPr>
          <w:p w14:paraId="684E65E9" w14:textId="77777777" w:rsidR="0034677E" w:rsidRPr="00B61E56" w:rsidRDefault="0034677E" w:rsidP="0034677E">
            <w:pPr>
              <w:spacing w:after="0" w:line="240" w:lineRule="auto"/>
              <w:rPr>
                <w:rFonts w:ascii="Calibri" w:eastAsia="Times New Roman" w:hAnsi="Calibri" w:cs="Calibri"/>
                <w:color w:val="000000"/>
              </w:rPr>
            </w:pPr>
            <w:r>
              <w:rPr>
                <w:rFonts w:ascii="Calibri" w:hAnsi="Calibri"/>
                <w:color w:val="000000"/>
              </w:rPr>
              <w:t>RESERVAS ACUMULADAS — (para SALÁRIOS)</w:t>
            </w:r>
          </w:p>
        </w:tc>
        <w:tc>
          <w:tcPr>
            <w:tcW w:w="1540" w:type="dxa"/>
            <w:tcBorders>
              <w:top w:val="nil"/>
              <w:left w:val="nil"/>
              <w:bottom w:val="single" w:sz="4" w:space="0" w:color="auto"/>
              <w:right w:val="single" w:sz="4" w:space="0" w:color="auto"/>
            </w:tcBorders>
            <w:shd w:val="clear" w:color="auto" w:fill="auto"/>
            <w:noWrap/>
            <w:vAlign w:val="bottom"/>
            <w:hideMark/>
          </w:tcPr>
          <w:p w14:paraId="22A88778" w14:textId="77777777" w:rsidR="0034677E" w:rsidRPr="00B61E56" w:rsidRDefault="0034677E" w:rsidP="0034677E">
            <w:pPr>
              <w:spacing w:after="0" w:line="240" w:lineRule="auto"/>
              <w:rPr>
                <w:rFonts w:ascii="Calibri" w:eastAsia="Times New Roman" w:hAnsi="Calibri" w:cs="Calibri"/>
                <w:color w:val="000000"/>
              </w:rPr>
            </w:pPr>
            <w:r>
              <w:rPr>
                <w:rFonts w:ascii="Calibri" w:hAnsi="Calibri"/>
                <w:color w:val="000000"/>
              </w:rPr>
              <w:t xml:space="preserve">      1.500.000.00 </w:t>
            </w:r>
          </w:p>
        </w:tc>
      </w:tr>
      <w:tr w:rsidR="0034677E" w:rsidRPr="00B61E56" w14:paraId="5FBE8258" w14:textId="77777777" w:rsidTr="00EC59BC">
        <w:trPr>
          <w:trHeight w:val="288"/>
        </w:trPr>
        <w:tc>
          <w:tcPr>
            <w:tcW w:w="328" w:type="dxa"/>
            <w:tcBorders>
              <w:top w:val="nil"/>
              <w:left w:val="nil"/>
              <w:bottom w:val="nil"/>
              <w:right w:val="nil"/>
            </w:tcBorders>
            <w:shd w:val="clear" w:color="auto" w:fill="auto"/>
            <w:noWrap/>
            <w:vAlign w:val="bottom"/>
            <w:hideMark/>
          </w:tcPr>
          <w:p w14:paraId="605C9CFE" w14:textId="77777777" w:rsidR="0034677E" w:rsidRPr="00B61E56" w:rsidRDefault="0034677E" w:rsidP="0034677E">
            <w:pPr>
              <w:spacing w:after="0" w:line="240" w:lineRule="auto"/>
              <w:jc w:val="right"/>
              <w:rPr>
                <w:rFonts w:ascii="Calibri" w:eastAsia="Times New Roman" w:hAnsi="Calibri" w:cs="Calibri"/>
                <w:color w:val="000000"/>
              </w:rPr>
            </w:pPr>
            <w:r>
              <w:rPr>
                <w:rFonts w:ascii="Calibri" w:hAnsi="Calibri"/>
                <w:color w:val="000000"/>
              </w:rPr>
              <w:t>2</w:t>
            </w:r>
          </w:p>
        </w:tc>
        <w:tc>
          <w:tcPr>
            <w:tcW w:w="5280" w:type="dxa"/>
            <w:tcBorders>
              <w:top w:val="nil"/>
              <w:left w:val="single" w:sz="4" w:space="0" w:color="auto"/>
              <w:bottom w:val="single" w:sz="4" w:space="0" w:color="auto"/>
              <w:right w:val="single" w:sz="4" w:space="0" w:color="auto"/>
            </w:tcBorders>
            <w:shd w:val="clear" w:color="auto" w:fill="auto"/>
            <w:noWrap/>
            <w:vAlign w:val="bottom"/>
            <w:hideMark/>
          </w:tcPr>
          <w:p w14:paraId="5BFF97AF" w14:textId="50D4EB75" w:rsidR="0034677E" w:rsidRPr="00B61E56" w:rsidRDefault="0034677E" w:rsidP="0034677E">
            <w:pPr>
              <w:spacing w:after="0" w:line="240" w:lineRule="auto"/>
              <w:rPr>
                <w:rFonts w:ascii="Calibri" w:eastAsia="Times New Roman" w:hAnsi="Calibri" w:cs="Calibri"/>
                <w:color w:val="000000"/>
              </w:rPr>
            </w:pPr>
            <w:r>
              <w:rPr>
                <w:rFonts w:ascii="Calibri" w:hAnsi="Calibri"/>
                <w:color w:val="000000"/>
              </w:rPr>
              <w:t>RESERVAS ACUMULADAS — DESP</w:t>
            </w:r>
            <w:r w:rsidR="00BF4CF5">
              <w:rPr>
                <w:rFonts w:ascii="Calibri" w:hAnsi="Calibri"/>
                <w:color w:val="000000"/>
              </w:rPr>
              <w:t>ESAS</w:t>
            </w:r>
            <w:r>
              <w:rPr>
                <w:rFonts w:ascii="Calibri" w:hAnsi="Calibri"/>
                <w:color w:val="000000"/>
              </w:rPr>
              <w:t xml:space="preserve"> OPERACIONAIS &amp; ADMINISTRATIVAS</w:t>
            </w:r>
          </w:p>
        </w:tc>
        <w:tc>
          <w:tcPr>
            <w:tcW w:w="1540" w:type="dxa"/>
            <w:tcBorders>
              <w:top w:val="nil"/>
              <w:left w:val="nil"/>
              <w:bottom w:val="single" w:sz="4" w:space="0" w:color="auto"/>
              <w:right w:val="single" w:sz="4" w:space="0" w:color="auto"/>
            </w:tcBorders>
            <w:shd w:val="clear" w:color="auto" w:fill="auto"/>
            <w:noWrap/>
            <w:vAlign w:val="bottom"/>
            <w:hideMark/>
          </w:tcPr>
          <w:p w14:paraId="776B057D" w14:textId="77777777" w:rsidR="0034677E" w:rsidRPr="00B61E56" w:rsidRDefault="0034677E" w:rsidP="0034677E">
            <w:pPr>
              <w:spacing w:after="0" w:line="240" w:lineRule="auto"/>
              <w:rPr>
                <w:rFonts w:ascii="Calibri" w:eastAsia="Times New Roman" w:hAnsi="Calibri" w:cs="Calibri"/>
                <w:color w:val="000000"/>
              </w:rPr>
            </w:pPr>
            <w:r>
              <w:rPr>
                <w:rFonts w:ascii="Calibri" w:hAnsi="Calibri"/>
                <w:color w:val="000000"/>
              </w:rPr>
              <w:t xml:space="preserve">      5.500.000.00 </w:t>
            </w:r>
          </w:p>
        </w:tc>
      </w:tr>
      <w:tr w:rsidR="0034677E" w:rsidRPr="00B61E56" w14:paraId="0A1DA4BB" w14:textId="77777777" w:rsidTr="00EC59BC">
        <w:trPr>
          <w:trHeight w:val="288"/>
        </w:trPr>
        <w:tc>
          <w:tcPr>
            <w:tcW w:w="328" w:type="dxa"/>
            <w:tcBorders>
              <w:top w:val="nil"/>
              <w:left w:val="nil"/>
              <w:bottom w:val="nil"/>
              <w:right w:val="nil"/>
            </w:tcBorders>
            <w:shd w:val="clear" w:color="auto" w:fill="auto"/>
            <w:noWrap/>
            <w:vAlign w:val="bottom"/>
            <w:hideMark/>
          </w:tcPr>
          <w:p w14:paraId="2A9B6693" w14:textId="77777777" w:rsidR="0034677E" w:rsidRPr="00B61E56" w:rsidRDefault="0034677E" w:rsidP="0034677E">
            <w:pPr>
              <w:spacing w:after="0" w:line="240" w:lineRule="auto"/>
              <w:rPr>
                <w:rFonts w:ascii="Calibri" w:eastAsia="Times New Roman" w:hAnsi="Calibri" w:cs="Calibri"/>
                <w:color w:val="000000"/>
              </w:rPr>
            </w:pPr>
          </w:p>
        </w:tc>
        <w:tc>
          <w:tcPr>
            <w:tcW w:w="5280" w:type="dxa"/>
            <w:tcBorders>
              <w:top w:val="nil"/>
              <w:left w:val="single" w:sz="4" w:space="0" w:color="auto"/>
              <w:bottom w:val="single" w:sz="4" w:space="0" w:color="auto"/>
              <w:right w:val="single" w:sz="4" w:space="0" w:color="auto"/>
            </w:tcBorders>
            <w:shd w:val="clear" w:color="auto" w:fill="auto"/>
            <w:noWrap/>
            <w:vAlign w:val="bottom"/>
            <w:hideMark/>
          </w:tcPr>
          <w:p w14:paraId="26BAF1DE" w14:textId="77777777" w:rsidR="0034677E" w:rsidRPr="00B61E56" w:rsidRDefault="0034677E" w:rsidP="0034677E">
            <w:pPr>
              <w:spacing w:after="0" w:line="240" w:lineRule="auto"/>
              <w:rPr>
                <w:rFonts w:ascii="Calibri" w:eastAsia="Times New Roman" w:hAnsi="Calibri" w:cs="Calibri"/>
                <w:b/>
                <w:bCs/>
                <w:color w:val="000000"/>
              </w:rPr>
            </w:pPr>
            <w:r>
              <w:rPr>
                <w:rFonts w:ascii="Calibri" w:hAnsi="Calibri"/>
                <w:b/>
                <w:color w:val="000000"/>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6CDD8AAB" w14:textId="77777777" w:rsidR="0034677E" w:rsidRPr="00B61E56" w:rsidRDefault="0034677E" w:rsidP="0034677E">
            <w:pPr>
              <w:spacing w:after="0" w:line="240" w:lineRule="auto"/>
              <w:rPr>
                <w:rFonts w:ascii="Calibri" w:eastAsia="Times New Roman" w:hAnsi="Calibri" w:cs="Calibri"/>
                <w:b/>
                <w:bCs/>
                <w:color w:val="000000"/>
              </w:rPr>
            </w:pPr>
            <w:r>
              <w:rPr>
                <w:rFonts w:ascii="Calibri" w:hAnsi="Calibri"/>
                <w:b/>
                <w:color w:val="000000"/>
              </w:rPr>
              <w:t xml:space="preserve">     7.000.000.00 </w:t>
            </w:r>
          </w:p>
        </w:tc>
      </w:tr>
    </w:tbl>
    <w:p w14:paraId="3E7F5B55" w14:textId="77777777" w:rsidR="00EB6CFC" w:rsidRPr="00B61E56" w:rsidRDefault="00EB6CFC" w:rsidP="00EB6CFC">
      <w:pPr>
        <w:spacing w:after="0" w:line="240" w:lineRule="auto"/>
        <w:jc w:val="both"/>
        <w:rPr>
          <w:rFonts w:ascii="Bookman Old Style" w:hAnsi="Bookman Old Style"/>
          <w:sz w:val="24"/>
          <w:szCs w:val="24"/>
        </w:rPr>
      </w:pPr>
    </w:p>
    <w:p w14:paraId="6BD6DB59" w14:textId="75F4C8C0" w:rsidR="00EB6CFC" w:rsidRPr="00EC59BC" w:rsidRDefault="005D7317" w:rsidP="00E111F6">
      <w:pPr>
        <w:pStyle w:val="ListParagraph"/>
        <w:numPr>
          <w:ilvl w:val="2"/>
          <w:numId w:val="30"/>
        </w:numPr>
        <w:spacing w:after="0" w:line="240" w:lineRule="auto"/>
        <w:jc w:val="both"/>
        <w:rPr>
          <w:rFonts w:ascii="Bookman Old Style" w:hAnsi="Bookman Old Style"/>
          <w:b/>
          <w:bCs/>
          <w:sz w:val="24"/>
          <w:szCs w:val="24"/>
        </w:rPr>
      </w:pPr>
      <w:r>
        <w:rPr>
          <w:rFonts w:ascii="Bookman Old Style" w:hAnsi="Bookman Old Style"/>
          <w:b/>
          <w:sz w:val="24"/>
        </w:rPr>
        <w:t>Alocações a partir da Receita Acumulada</w:t>
      </w:r>
    </w:p>
    <w:p w14:paraId="13515908" w14:textId="77777777" w:rsidR="00EC59BC" w:rsidRPr="00B61E56" w:rsidRDefault="00EC59BC" w:rsidP="00EC59BC">
      <w:pPr>
        <w:pStyle w:val="ListParagraph"/>
        <w:spacing w:after="0" w:line="240" w:lineRule="auto"/>
        <w:jc w:val="both"/>
        <w:rPr>
          <w:rFonts w:ascii="Bookman Old Style" w:hAnsi="Bookman Old Style"/>
          <w:b/>
          <w:bCs/>
          <w:sz w:val="24"/>
          <w:szCs w:val="24"/>
        </w:rPr>
      </w:pPr>
    </w:p>
    <w:p w14:paraId="72A853C9" w14:textId="58CEB0C3" w:rsidR="005D7317" w:rsidRPr="00EC59BC" w:rsidRDefault="005D7317" w:rsidP="00EC59BC">
      <w:pPr>
        <w:pStyle w:val="ListParagraph"/>
        <w:numPr>
          <w:ilvl w:val="0"/>
          <w:numId w:val="19"/>
        </w:numPr>
        <w:spacing w:after="0" w:line="240" w:lineRule="auto"/>
        <w:ind w:left="1134" w:hanging="425"/>
        <w:jc w:val="both"/>
        <w:rPr>
          <w:rFonts w:ascii="Bookman Old Style" w:hAnsi="Bookman Old Style"/>
          <w:sz w:val="24"/>
          <w:szCs w:val="24"/>
        </w:rPr>
      </w:pPr>
      <w:r>
        <w:rPr>
          <w:rFonts w:ascii="Bookman Old Style" w:hAnsi="Bookman Old Style"/>
          <w:sz w:val="24"/>
        </w:rPr>
        <w:t>A rubrica Receita Acumulada</w:t>
      </w:r>
      <w:r w:rsidR="00BF4CF5" w:rsidRPr="00BF4CF5">
        <w:rPr>
          <w:rFonts w:ascii="Bookman Old Style" w:hAnsi="Bookman Old Style"/>
          <w:sz w:val="24"/>
        </w:rPr>
        <w:t xml:space="preserve"> </w:t>
      </w:r>
      <w:r w:rsidR="00BF4CF5">
        <w:rPr>
          <w:rFonts w:ascii="Bookman Old Style" w:hAnsi="Bookman Old Style"/>
          <w:sz w:val="24"/>
        </w:rPr>
        <w:t>apresentava</w:t>
      </w:r>
      <w:r>
        <w:rPr>
          <w:rFonts w:ascii="Bookman Old Style" w:hAnsi="Bookman Old Style"/>
          <w:sz w:val="24"/>
        </w:rPr>
        <w:t>, em 31 de Março de 2022, a quantia de N$11 milhões, mas apenas uma quantia estimada em N$7,5 milhões é disponível para ser usada no exercício financeiro 2023/2024.</w:t>
      </w:r>
    </w:p>
    <w:p w14:paraId="14CD576E" w14:textId="77777777" w:rsidR="00EC59BC" w:rsidRPr="00EC59BC" w:rsidRDefault="00EC59BC" w:rsidP="00EC59BC">
      <w:pPr>
        <w:spacing w:after="0" w:line="240" w:lineRule="auto"/>
        <w:ind w:left="709"/>
        <w:jc w:val="both"/>
        <w:rPr>
          <w:rFonts w:ascii="Bookman Old Style" w:hAnsi="Bookman Old Style"/>
          <w:sz w:val="24"/>
          <w:szCs w:val="24"/>
        </w:rPr>
      </w:pPr>
    </w:p>
    <w:p w14:paraId="60E62093" w14:textId="5BE60CC7" w:rsidR="00D531EE" w:rsidRPr="00EC59BC" w:rsidRDefault="00D52C69" w:rsidP="00EC59BC">
      <w:pPr>
        <w:pStyle w:val="ListParagraph"/>
        <w:numPr>
          <w:ilvl w:val="0"/>
          <w:numId w:val="19"/>
        </w:numPr>
        <w:spacing w:after="0" w:line="240" w:lineRule="auto"/>
        <w:ind w:left="1134" w:hanging="425"/>
        <w:jc w:val="both"/>
        <w:rPr>
          <w:rFonts w:ascii="Bookman Old Style" w:hAnsi="Bookman Old Style"/>
          <w:sz w:val="24"/>
          <w:szCs w:val="24"/>
        </w:rPr>
      </w:pPr>
      <w:r>
        <w:rPr>
          <w:rFonts w:ascii="Bookman Old Style" w:hAnsi="Bookman Old Style"/>
          <w:sz w:val="24"/>
        </w:rPr>
        <w:lastRenderedPageBreak/>
        <w:t xml:space="preserve">Propõe-se que seja alocada uma quantia de N$1.500.000 a partir da rubrica Receita </w:t>
      </w:r>
      <w:r w:rsidR="00BF4CF5">
        <w:rPr>
          <w:rFonts w:ascii="Bookman Old Style" w:hAnsi="Bookman Old Style"/>
          <w:sz w:val="24"/>
        </w:rPr>
        <w:t>Acumulada para</w:t>
      </w:r>
      <w:r>
        <w:rPr>
          <w:rFonts w:ascii="Bookman Old Style" w:hAnsi="Bookman Old Style"/>
          <w:sz w:val="24"/>
        </w:rPr>
        <w:t xml:space="preserve"> os Salários, como foi aprovado pela 50.ª Assembleia Plenária, na sequência das recomendações da revisão salarial, que requer uma revisão anual da estrutura salarial pelo Índice de Preços ao Consumidor (CPI) e inclui incrementos de faixas salariais;</w:t>
      </w:r>
    </w:p>
    <w:p w14:paraId="2833680F" w14:textId="77777777" w:rsidR="00EC59BC" w:rsidRPr="00EC59BC" w:rsidRDefault="00EC59BC" w:rsidP="00EC59BC">
      <w:pPr>
        <w:spacing w:after="0" w:line="240" w:lineRule="auto"/>
        <w:jc w:val="both"/>
        <w:rPr>
          <w:rFonts w:ascii="Bookman Old Style" w:hAnsi="Bookman Old Style"/>
          <w:sz w:val="24"/>
          <w:szCs w:val="24"/>
        </w:rPr>
      </w:pPr>
    </w:p>
    <w:p w14:paraId="7FBA4123" w14:textId="78804869" w:rsidR="00DD117E" w:rsidRPr="00B61E56" w:rsidRDefault="00815D3B" w:rsidP="00EC59BC">
      <w:pPr>
        <w:pStyle w:val="ListParagraph"/>
        <w:numPr>
          <w:ilvl w:val="0"/>
          <w:numId w:val="19"/>
        </w:numPr>
        <w:spacing w:after="0" w:line="240" w:lineRule="auto"/>
        <w:ind w:left="1134" w:hanging="425"/>
        <w:jc w:val="both"/>
        <w:rPr>
          <w:rFonts w:ascii="Bookman Old Style" w:hAnsi="Bookman Old Style"/>
          <w:sz w:val="24"/>
          <w:szCs w:val="24"/>
        </w:rPr>
      </w:pPr>
      <w:r>
        <w:rPr>
          <w:rFonts w:ascii="Bookman Old Style" w:hAnsi="Bookman Old Style"/>
          <w:sz w:val="24"/>
        </w:rPr>
        <w:t>Haverá uma alocação de N$5.500.000 a partir da Receita Acumulada para as Despesas Operacionais e as Despesas Administrativas Gerais. A proposta de se alocar a rubrica Receita Acumulada ao orçamento é uma necessidade em parte pela falta de financiamento externo para as actividades das comissões permanentes e dos programas, bem como os processos de estabelecimento de contactos e de desenvolvimento de políticas. A tendência nos exercícios financeiros passado</w:t>
      </w:r>
      <w:r w:rsidR="00BF4CF5">
        <w:rPr>
          <w:rFonts w:ascii="Bookman Old Style" w:hAnsi="Bookman Old Style"/>
          <w:sz w:val="24"/>
        </w:rPr>
        <w:t>s</w:t>
      </w:r>
      <w:r>
        <w:rPr>
          <w:rFonts w:ascii="Bookman Old Style" w:hAnsi="Bookman Old Style"/>
          <w:sz w:val="24"/>
        </w:rPr>
        <w:t xml:space="preserve"> foi de financiar as reuniões das comissões permanentes a partir d</w:t>
      </w:r>
      <w:r w:rsidR="00BF4CF5">
        <w:rPr>
          <w:rFonts w:ascii="Bookman Old Style" w:hAnsi="Bookman Old Style"/>
          <w:sz w:val="24"/>
        </w:rPr>
        <w:t>e</w:t>
      </w:r>
      <w:r>
        <w:rPr>
          <w:rFonts w:ascii="Bookman Old Style" w:hAnsi="Bookman Old Style"/>
          <w:sz w:val="24"/>
        </w:rPr>
        <w:t xml:space="preserve"> fundos externos; contudo, embora esteja em curso a mobilização de recursos, não há actualmente nenhum financiamento externo confirmado para o exercício financeiro 2023/2024.  </w:t>
      </w:r>
    </w:p>
    <w:p w14:paraId="4475ECC0" w14:textId="6F9F28DF" w:rsidR="00454EEF" w:rsidRPr="00B61E56" w:rsidRDefault="00D57C0B" w:rsidP="005D7317">
      <w:pPr>
        <w:spacing w:after="0" w:line="240" w:lineRule="auto"/>
        <w:jc w:val="both"/>
        <w:rPr>
          <w:rFonts w:ascii="Bookman Old Style" w:hAnsi="Bookman Old Style"/>
          <w:sz w:val="24"/>
          <w:szCs w:val="24"/>
        </w:rPr>
      </w:pPr>
      <w:r>
        <w:rPr>
          <w:rFonts w:ascii="Bookman Old Style" w:hAnsi="Bookman Old Style"/>
          <w:sz w:val="24"/>
        </w:rPr>
        <w:t xml:space="preserve">                </w:t>
      </w:r>
    </w:p>
    <w:p w14:paraId="6ED537AB" w14:textId="3CD9BBEE" w:rsidR="000C587D" w:rsidRPr="00EC59BC" w:rsidRDefault="000C587D" w:rsidP="00E111F6">
      <w:pPr>
        <w:pStyle w:val="ListParagraph"/>
        <w:numPr>
          <w:ilvl w:val="2"/>
          <w:numId w:val="30"/>
        </w:numPr>
        <w:spacing w:after="0" w:line="240" w:lineRule="auto"/>
        <w:jc w:val="both"/>
        <w:rPr>
          <w:rFonts w:ascii="Bookman Old Style" w:hAnsi="Bookman Old Style"/>
          <w:b/>
          <w:sz w:val="24"/>
          <w:szCs w:val="24"/>
        </w:rPr>
      </w:pPr>
      <w:r>
        <w:rPr>
          <w:rFonts w:ascii="Bookman Old Style" w:hAnsi="Bookman Old Style"/>
          <w:b/>
          <w:sz w:val="24"/>
        </w:rPr>
        <w:t>Contribuições para as missões de observação eleitoral feitas pelos parlamentos membros (não inclusos)</w:t>
      </w:r>
    </w:p>
    <w:p w14:paraId="120B49D5" w14:textId="77777777" w:rsidR="00EC59BC" w:rsidRPr="00B61E56" w:rsidRDefault="00EC59BC" w:rsidP="00EC59BC">
      <w:pPr>
        <w:pStyle w:val="ListParagraph"/>
        <w:spacing w:after="0" w:line="240" w:lineRule="auto"/>
        <w:jc w:val="both"/>
        <w:rPr>
          <w:rFonts w:ascii="Bookman Old Style" w:hAnsi="Bookman Old Style"/>
          <w:b/>
          <w:sz w:val="24"/>
          <w:szCs w:val="24"/>
        </w:rPr>
      </w:pPr>
    </w:p>
    <w:p w14:paraId="5097F1CC" w14:textId="0C3DBF42" w:rsidR="00282E2F" w:rsidRPr="00B61E56" w:rsidRDefault="000C587D" w:rsidP="00DD353C">
      <w:pPr>
        <w:spacing w:after="0" w:line="240" w:lineRule="auto"/>
        <w:ind w:left="709" w:firstLine="11"/>
        <w:jc w:val="both"/>
        <w:rPr>
          <w:rFonts w:ascii="Bookman Old Style" w:hAnsi="Bookman Old Style"/>
          <w:bCs/>
          <w:sz w:val="24"/>
          <w:szCs w:val="24"/>
        </w:rPr>
      </w:pPr>
      <w:r>
        <w:rPr>
          <w:rFonts w:ascii="Bookman Old Style" w:hAnsi="Bookman Old Style"/>
          <w:sz w:val="24"/>
        </w:rPr>
        <w:t>Durante o exercício financeiro 2023/2024, haverá eleições nos seguintes países: RDC, Eswatini e Zimbabwe. O orçamento requer contribuições específicas dos parlamentos membros para as missões de observação eleitoral fixadas em US$5.000 por parlamento por missão, se houver uma participação de cerca de 9 parlamentos por missão, com base no custo total</w:t>
      </w:r>
      <w:r w:rsidR="00BF4CF5">
        <w:rPr>
          <w:rFonts w:ascii="Bookman Old Style" w:hAnsi="Bookman Old Style"/>
          <w:sz w:val="24"/>
        </w:rPr>
        <w:t>, espera-se</w:t>
      </w:r>
      <w:r>
        <w:rPr>
          <w:rFonts w:ascii="Bookman Old Style" w:hAnsi="Bookman Old Style"/>
          <w:sz w:val="24"/>
        </w:rPr>
        <w:t xml:space="preserve"> atingir aproximadamente N$2,4 milhões para as três missões de observação eleitoral (MOEs). Esta proposta</w:t>
      </w:r>
      <w:r w:rsidR="00BF4CF5">
        <w:rPr>
          <w:rFonts w:ascii="Bookman Old Style" w:hAnsi="Bookman Old Style"/>
          <w:sz w:val="24"/>
        </w:rPr>
        <w:t xml:space="preserve"> de</w:t>
      </w:r>
      <w:r>
        <w:rPr>
          <w:rFonts w:ascii="Bookman Old Style" w:hAnsi="Bookman Old Style"/>
          <w:sz w:val="24"/>
        </w:rPr>
        <w:t xml:space="preserve"> contribuição, no entanto, não </w:t>
      </w:r>
      <w:r w:rsidR="00BF4CF5">
        <w:rPr>
          <w:rFonts w:ascii="Bookman Old Style" w:hAnsi="Bookman Old Style"/>
          <w:sz w:val="24"/>
        </w:rPr>
        <w:t>consta</w:t>
      </w:r>
      <w:r>
        <w:rPr>
          <w:rFonts w:ascii="Bookman Old Style" w:hAnsi="Bookman Old Style"/>
          <w:sz w:val="24"/>
        </w:rPr>
        <w:t xml:space="preserve"> no orçamento, uma vez que a fonte de financiamento não é confirmada. Os fundos serão tratados como suplementares e a sua utilização será justificada na sequência das missões de observação eleitoral. Foi prevista apenas uma quantia de N$300.000 como financiamento de partida.</w:t>
      </w:r>
    </w:p>
    <w:p w14:paraId="05DCA82C" w14:textId="77777777" w:rsidR="00DD353C" w:rsidRPr="00B61E56" w:rsidRDefault="00DD353C" w:rsidP="00DD353C">
      <w:pPr>
        <w:spacing w:after="0" w:line="240" w:lineRule="auto"/>
        <w:ind w:left="709" w:firstLine="11"/>
        <w:jc w:val="both"/>
        <w:rPr>
          <w:rFonts w:ascii="Bookman Old Style" w:hAnsi="Bookman Old Style"/>
          <w:bCs/>
          <w:sz w:val="24"/>
          <w:szCs w:val="24"/>
        </w:rPr>
      </w:pPr>
    </w:p>
    <w:p w14:paraId="06C45583" w14:textId="25A5461B" w:rsidR="000C587D" w:rsidRPr="00EC59BC" w:rsidRDefault="000C587D" w:rsidP="00E111F6">
      <w:pPr>
        <w:pStyle w:val="ListParagraph"/>
        <w:numPr>
          <w:ilvl w:val="2"/>
          <w:numId w:val="30"/>
        </w:numPr>
        <w:spacing w:after="0" w:line="240" w:lineRule="auto"/>
        <w:jc w:val="both"/>
        <w:rPr>
          <w:rFonts w:ascii="Bookman Old Style" w:hAnsi="Bookman Old Style"/>
          <w:b/>
          <w:sz w:val="24"/>
          <w:szCs w:val="24"/>
        </w:rPr>
      </w:pPr>
      <w:r>
        <w:rPr>
          <w:rFonts w:ascii="Bookman Old Style" w:hAnsi="Bookman Old Style"/>
          <w:b/>
          <w:sz w:val="24"/>
        </w:rPr>
        <w:t>Receitas provenientes do financiamento concedido por doadores: Zero</w:t>
      </w:r>
    </w:p>
    <w:p w14:paraId="12BD6188" w14:textId="77777777" w:rsidR="00EC59BC" w:rsidRPr="00B61E56" w:rsidRDefault="00EC59BC" w:rsidP="00EC59BC">
      <w:pPr>
        <w:pStyle w:val="ListParagraph"/>
        <w:spacing w:after="0" w:line="240" w:lineRule="auto"/>
        <w:jc w:val="both"/>
        <w:rPr>
          <w:rFonts w:ascii="Bookman Old Style" w:hAnsi="Bookman Old Style"/>
          <w:b/>
          <w:sz w:val="24"/>
          <w:szCs w:val="24"/>
        </w:rPr>
      </w:pPr>
    </w:p>
    <w:p w14:paraId="3511268E" w14:textId="77777777" w:rsidR="000C587D" w:rsidRPr="00B61E56" w:rsidRDefault="000C587D" w:rsidP="000C587D">
      <w:pPr>
        <w:spacing w:after="0" w:line="240" w:lineRule="auto"/>
        <w:ind w:left="709"/>
        <w:jc w:val="both"/>
        <w:rPr>
          <w:rFonts w:ascii="Bookman Old Style" w:hAnsi="Bookman Old Style"/>
          <w:sz w:val="24"/>
          <w:szCs w:val="24"/>
        </w:rPr>
      </w:pPr>
      <w:r>
        <w:rPr>
          <w:rFonts w:ascii="Bookman Old Style" w:hAnsi="Bookman Old Style"/>
          <w:sz w:val="24"/>
        </w:rPr>
        <w:t>Não consta no orçamento nenhuma receita preveniente dos doadores/parceiros de cooperação para o exercício de 2023/2024. Mesmo quando a referida verba foi inclusa nos orçamentos dos anos anteriores, o efeito líquido é zero, uma vez que uma quantia exacta correspondente foi inclusa nas despesas. Os orçamentos dos doadores e as despesas são compilados e apresentados em relatórios separados, de acordo com os respectivos acordos assinados. Esta prática também condiz com a recomendação de não continuar a compilar as contas principais do FP-SADC com as contas financiadas por doadores nas demonstrações financeiras auditadas.</w:t>
      </w:r>
    </w:p>
    <w:p w14:paraId="1FA7BCA3" w14:textId="37DF0192" w:rsidR="000C587D" w:rsidRDefault="000C587D" w:rsidP="000C587D">
      <w:pPr>
        <w:spacing w:after="0" w:line="240" w:lineRule="auto"/>
        <w:jc w:val="both"/>
        <w:rPr>
          <w:rFonts w:ascii="Bookman Old Style" w:hAnsi="Bookman Old Style"/>
          <w:sz w:val="24"/>
          <w:szCs w:val="24"/>
        </w:rPr>
      </w:pPr>
    </w:p>
    <w:p w14:paraId="014C1988" w14:textId="5F7C2190" w:rsidR="00BF4CF5" w:rsidRDefault="00BF4CF5" w:rsidP="000C587D">
      <w:pPr>
        <w:spacing w:after="0" w:line="240" w:lineRule="auto"/>
        <w:jc w:val="both"/>
        <w:rPr>
          <w:rFonts w:ascii="Bookman Old Style" w:hAnsi="Bookman Old Style"/>
          <w:sz w:val="24"/>
          <w:szCs w:val="24"/>
        </w:rPr>
      </w:pPr>
    </w:p>
    <w:p w14:paraId="38208321" w14:textId="77777777" w:rsidR="00BF4CF5" w:rsidRPr="00B61E56" w:rsidRDefault="00BF4CF5" w:rsidP="000C587D">
      <w:pPr>
        <w:spacing w:after="0" w:line="240" w:lineRule="auto"/>
        <w:jc w:val="both"/>
        <w:rPr>
          <w:rFonts w:ascii="Bookman Old Style" w:hAnsi="Bookman Old Style"/>
          <w:sz w:val="24"/>
          <w:szCs w:val="24"/>
        </w:rPr>
      </w:pPr>
    </w:p>
    <w:p w14:paraId="179E4578" w14:textId="16C3A604" w:rsidR="00186171" w:rsidRPr="00B61E56" w:rsidRDefault="00E111F6" w:rsidP="002003BF">
      <w:pPr>
        <w:spacing w:after="0" w:line="240" w:lineRule="auto"/>
        <w:ind w:left="709" w:hanging="709"/>
        <w:jc w:val="both"/>
        <w:rPr>
          <w:rFonts w:ascii="Bookman Old Style" w:hAnsi="Bookman Old Style"/>
          <w:sz w:val="24"/>
          <w:szCs w:val="24"/>
        </w:rPr>
      </w:pPr>
      <w:r>
        <w:rPr>
          <w:rFonts w:ascii="Bookman Old Style" w:hAnsi="Bookman Old Style"/>
          <w:b/>
          <w:sz w:val="24"/>
        </w:rPr>
        <w:t>4.3.5. Receitas totais: N$28.388.050</w:t>
      </w:r>
    </w:p>
    <w:p w14:paraId="482DDD9B" w14:textId="77777777" w:rsidR="00EC59BC" w:rsidRDefault="00EC59BC" w:rsidP="00D73FD9">
      <w:pPr>
        <w:spacing w:after="0" w:line="240" w:lineRule="auto"/>
        <w:ind w:left="709"/>
        <w:jc w:val="both"/>
        <w:rPr>
          <w:rFonts w:ascii="Bookman Old Style" w:hAnsi="Bookman Old Style"/>
          <w:sz w:val="24"/>
        </w:rPr>
      </w:pPr>
    </w:p>
    <w:p w14:paraId="0A8F546B" w14:textId="065363F2" w:rsidR="005D7317" w:rsidRDefault="008D39B7" w:rsidP="00D73FD9">
      <w:pPr>
        <w:spacing w:after="0" w:line="240" w:lineRule="auto"/>
        <w:ind w:left="709"/>
        <w:jc w:val="both"/>
        <w:rPr>
          <w:rFonts w:ascii="Bookman Old Style" w:hAnsi="Bookman Old Style"/>
          <w:sz w:val="24"/>
          <w:szCs w:val="24"/>
        </w:rPr>
      </w:pPr>
      <w:r>
        <w:rPr>
          <w:rFonts w:ascii="Bookman Old Style" w:hAnsi="Bookman Old Style"/>
          <w:sz w:val="24"/>
        </w:rPr>
        <w:t xml:space="preserve">O total do orçamento de 2023/2024 prevê, portanto, receitas totais de N$28.388.050, em comparação com N$51.422.942 para o exercício financeiro de 2022/2023. A redução de N$23,03 milhões (45%) é um efeito líquido da exclusão do financiamento concedido por doadores e incluindo alocações a partir dos Lucros Acumulados para ter em conta os défices. Enquanto houve um total de 50% na quantia de </w:t>
      </w:r>
      <w:bookmarkStart w:id="4" w:name="_Hlk56276150"/>
      <w:r>
        <w:rPr>
          <w:rFonts w:ascii="Bookman Old Style" w:hAnsi="Bookman Old Style"/>
          <w:sz w:val="24"/>
        </w:rPr>
        <w:t>N$25.881.788 no orçamento de 2022/2023 a partir</w:t>
      </w:r>
      <w:bookmarkEnd w:id="4"/>
      <w:r>
        <w:rPr>
          <w:rFonts w:ascii="Bookman Old Style" w:hAnsi="Bookman Old Style"/>
          <w:sz w:val="24"/>
        </w:rPr>
        <w:t xml:space="preserve"> de fundos concedidos por doadores, não há nenhuma quantia a partir do financiamento concedido por doadores no orçamento do exercício de 2023/2024. Do mesmo modo, como indicado na subsecção 4.3 acima, há uma alocação de uma quantia de N$7,0 milhões a partir da Receita Acumulada. O mapa a seguir apresenta os detalhes:</w:t>
      </w:r>
    </w:p>
    <w:p w14:paraId="72C403C1" w14:textId="7BF6846D" w:rsidR="005D7317" w:rsidRDefault="005D7317" w:rsidP="002003BF">
      <w:pPr>
        <w:spacing w:after="0" w:line="240" w:lineRule="auto"/>
        <w:ind w:left="709" w:hanging="709"/>
        <w:jc w:val="both"/>
        <w:rPr>
          <w:rFonts w:ascii="Bookman Old Style" w:hAnsi="Bookman Old Style"/>
          <w:sz w:val="24"/>
          <w:szCs w:val="24"/>
        </w:rPr>
      </w:pPr>
    </w:p>
    <w:tbl>
      <w:tblPr>
        <w:tblW w:w="9481" w:type="dxa"/>
        <w:tblLook w:val="04A0" w:firstRow="1" w:lastRow="0" w:firstColumn="1" w:lastColumn="0" w:noHBand="0" w:noVBand="1"/>
      </w:tblPr>
      <w:tblGrid>
        <w:gridCol w:w="800"/>
        <w:gridCol w:w="3980"/>
        <w:gridCol w:w="1480"/>
        <w:gridCol w:w="1291"/>
        <w:gridCol w:w="1180"/>
        <w:gridCol w:w="1154"/>
      </w:tblGrid>
      <w:tr w:rsidR="00D73FD9" w:rsidRPr="00D73FD9" w14:paraId="41C0FE96" w14:textId="77777777" w:rsidTr="00D73FD9">
        <w:trPr>
          <w:trHeight w:val="288"/>
        </w:trPr>
        <w:tc>
          <w:tcPr>
            <w:tcW w:w="620" w:type="dxa"/>
            <w:tcBorders>
              <w:top w:val="single" w:sz="8" w:space="0" w:color="auto"/>
              <w:left w:val="single" w:sz="8" w:space="0" w:color="auto"/>
              <w:bottom w:val="nil"/>
              <w:right w:val="nil"/>
            </w:tcBorders>
            <w:shd w:val="clear" w:color="auto" w:fill="auto"/>
            <w:noWrap/>
            <w:vAlign w:val="bottom"/>
            <w:hideMark/>
          </w:tcPr>
          <w:p w14:paraId="3ABF653A"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PONTO </w:t>
            </w:r>
          </w:p>
        </w:tc>
        <w:tc>
          <w:tcPr>
            <w:tcW w:w="3980" w:type="dxa"/>
            <w:tcBorders>
              <w:top w:val="single" w:sz="8" w:space="0" w:color="auto"/>
              <w:left w:val="single" w:sz="8" w:space="0" w:color="auto"/>
              <w:bottom w:val="nil"/>
              <w:right w:val="single" w:sz="8" w:space="0" w:color="auto"/>
            </w:tcBorders>
            <w:shd w:val="clear" w:color="auto" w:fill="auto"/>
            <w:noWrap/>
            <w:vAlign w:val="bottom"/>
            <w:hideMark/>
          </w:tcPr>
          <w:p w14:paraId="5B9B4739" w14:textId="5EE3A87D"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w:t>
            </w:r>
            <w:r w:rsidR="00BF4CF5">
              <w:rPr>
                <w:rFonts w:ascii="Arial Narrow" w:hAnsi="Arial Narrow"/>
                <w:b/>
                <w:sz w:val="20"/>
              </w:rPr>
              <w:t xml:space="preserve">CATEGORIA DE </w:t>
            </w:r>
            <w:r>
              <w:rPr>
                <w:rFonts w:ascii="Arial Narrow" w:hAnsi="Arial Narrow"/>
                <w:b/>
                <w:sz w:val="20"/>
              </w:rPr>
              <w:t xml:space="preserve">DESPESAS/RECEITAS </w:t>
            </w:r>
          </w:p>
        </w:tc>
        <w:tc>
          <w:tcPr>
            <w:tcW w:w="1480" w:type="dxa"/>
            <w:tcBorders>
              <w:top w:val="single" w:sz="8" w:space="0" w:color="auto"/>
              <w:left w:val="single" w:sz="8" w:space="0" w:color="auto"/>
              <w:bottom w:val="nil"/>
              <w:right w:val="single" w:sz="8" w:space="0" w:color="auto"/>
            </w:tcBorders>
            <w:shd w:val="clear" w:color="auto" w:fill="auto"/>
            <w:noWrap/>
            <w:vAlign w:val="bottom"/>
            <w:hideMark/>
          </w:tcPr>
          <w:p w14:paraId="6F0837C9" w14:textId="443B3CD4"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w:t>
            </w:r>
            <w:r w:rsidR="00BF4CF5">
              <w:rPr>
                <w:rFonts w:ascii="Arial Narrow" w:hAnsi="Arial Narrow"/>
                <w:b/>
                <w:sz w:val="20"/>
              </w:rPr>
              <w:t xml:space="preserve">ORÇAMENTO </w:t>
            </w:r>
            <w:r>
              <w:rPr>
                <w:rFonts w:ascii="Arial Narrow" w:hAnsi="Arial Narrow"/>
                <w:b/>
                <w:sz w:val="20"/>
              </w:rPr>
              <w:t xml:space="preserve">ACTUAL </w:t>
            </w:r>
          </w:p>
        </w:tc>
        <w:tc>
          <w:tcPr>
            <w:tcW w:w="1180" w:type="dxa"/>
            <w:tcBorders>
              <w:top w:val="single" w:sz="8" w:space="0" w:color="auto"/>
              <w:left w:val="nil"/>
              <w:bottom w:val="nil"/>
              <w:right w:val="single" w:sz="8" w:space="0" w:color="auto"/>
            </w:tcBorders>
            <w:shd w:val="clear" w:color="auto" w:fill="auto"/>
            <w:noWrap/>
            <w:vAlign w:val="bottom"/>
            <w:hideMark/>
          </w:tcPr>
          <w:p w14:paraId="2951114F" w14:textId="34355621"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PROPOSTA</w:t>
            </w:r>
            <w:r w:rsidR="00BF4CF5">
              <w:rPr>
                <w:rFonts w:ascii="Arial Narrow" w:hAnsi="Arial Narrow"/>
                <w:b/>
                <w:sz w:val="20"/>
              </w:rPr>
              <w:t xml:space="preserve"> DE</w:t>
            </w:r>
            <w:r>
              <w:rPr>
                <w:rFonts w:ascii="Arial Narrow" w:hAnsi="Arial Narrow"/>
                <w:b/>
                <w:sz w:val="20"/>
              </w:rPr>
              <w:t xml:space="preserve"> </w:t>
            </w:r>
          </w:p>
        </w:tc>
        <w:tc>
          <w:tcPr>
            <w:tcW w:w="1180" w:type="dxa"/>
            <w:tcBorders>
              <w:top w:val="single" w:sz="8" w:space="0" w:color="auto"/>
              <w:left w:val="nil"/>
              <w:bottom w:val="nil"/>
              <w:right w:val="single" w:sz="8" w:space="0" w:color="auto"/>
            </w:tcBorders>
            <w:shd w:val="clear" w:color="auto" w:fill="auto"/>
            <w:noWrap/>
            <w:vAlign w:val="bottom"/>
            <w:hideMark/>
          </w:tcPr>
          <w:p w14:paraId="2611BDC5"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AUMENTO/ </w:t>
            </w:r>
          </w:p>
        </w:tc>
        <w:tc>
          <w:tcPr>
            <w:tcW w:w="1041" w:type="dxa"/>
            <w:tcBorders>
              <w:top w:val="single" w:sz="8" w:space="0" w:color="auto"/>
              <w:left w:val="nil"/>
              <w:bottom w:val="nil"/>
              <w:right w:val="single" w:sz="8" w:space="0" w:color="auto"/>
            </w:tcBorders>
            <w:shd w:val="clear" w:color="auto" w:fill="auto"/>
            <w:noWrap/>
            <w:vAlign w:val="bottom"/>
            <w:hideMark/>
          </w:tcPr>
          <w:p w14:paraId="11A9FFA4"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AUMENTO/ </w:t>
            </w:r>
          </w:p>
        </w:tc>
      </w:tr>
      <w:tr w:rsidR="00D73FD9" w:rsidRPr="00D73FD9" w14:paraId="510B3160" w14:textId="77777777" w:rsidTr="00D73FD9">
        <w:trPr>
          <w:trHeight w:val="288"/>
        </w:trPr>
        <w:tc>
          <w:tcPr>
            <w:tcW w:w="620" w:type="dxa"/>
            <w:tcBorders>
              <w:top w:val="nil"/>
              <w:left w:val="single" w:sz="8" w:space="0" w:color="auto"/>
              <w:bottom w:val="nil"/>
              <w:right w:val="nil"/>
            </w:tcBorders>
            <w:shd w:val="clear" w:color="auto" w:fill="auto"/>
            <w:noWrap/>
            <w:vAlign w:val="bottom"/>
            <w:hideMark/>
          </w:tcPr>
          <w:p w14:paraId="23F38953"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N.º </w:t>
            </w:r>
          </w:p>
        </w:tc>
        <w:tc>
          <w:tcPr>
            <w:tcW w:w="3980" w:type="dxa"/>
            <w:tcBorders>
              <w:top w:val="nil"/>
              <w:left w:val="single" w:sz="8" w:space="0" w:color="auto"/>
              <w:bottom w:val="nil"/>
              <w:right w:val="single" w:sz="8" w:space="0" w:color="auto"/>
            </w:tcBorders>
            <w:shd w:val="clear" w:color="auto" w:fill="auto"/>
            <w:noWrap/>
            <w:vAlign w:val="bottom"/>
            <w:hideMark/>
          </w:tcPr>
          <w:p w14:paraId="50E7FDE8" w14:textId="6F245584"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w:t>
            </w:r>
          </w:p>
        </w:tc>
        <w:tc>
          <w:tcPr>
            <w:tcW w:w="1480" w:type="dxa"/>
            <w:tcBorders>
              <w:top w:val="nil"/>
              <w:left w:val="single" w:sz="8" w:space="0" w:color="auto"/>
              <w:bottom w:val="nil"/>
              <w:right w:val="single" w:sz="8" w:space="0" w:color="auto"/>
            </w:tcBorders>
            <w:shd w:val="clear" w:color="auto" w:fill="auto"/>
            <w:noWrap/>
            <w:vAlign w:val="bottom"/>
            <w:hideMark/>
          </w:tcPr>
          <w:p w14:paraId="6F04956E"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APROVADO</w:t>
            </w:r>
          </w:p>
        </w:tc>
        <w:tc>
          <w:tcPr>
            <w:tcW w:w="1180" w:type="dxa"/>
            <w:tcBorders>
              <w:top w:val="nil"/>
              <w:left w:val="nil"/>
              <w:bottom w:val="nil"/>
              <w:right w:val="single" w:sz="8" w:space="0" w:color="auto"/>
            </w:tcBorders>
            <w:shd w:val="clear" w:color="auto" w:fill="auto"/>
            <w:noWrap/>
            <w:vAlign w:val="bottom"/>
            <w:hideMark/>
          </w:tcPr>
          <w:p w14:paraId="1DE5893C"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ORÇAMENTO</w:t>
            </w:r>
          </w:p>
        </w:tc>
        <w:tc>
          <w:tcPr>
            <w:tcW w:w="1180" w:type="dxa"/>
            <w:tcBorders>
              <w:top w:val="nil"/>
              <w:left w:val="nil"/>
              <w:bottom w:val="nil"/>
              <w:right w:val="single" w:sz="8" w:space="0" w:color="auto"/>
            </w:tcBorders>
            <w:shd w:val="clear" w:color="auto" w:fill="auto"/>
            <w:noWrap/>
            <w:vAlign w:val="bottom"/>
            <w:hideMark/>
          </w:tcPr>
          <w:p w14:paraId="09CE8869"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(REDUÇÃO)</w:t>
            </w:r>
          </w:p>
        </w:tc>
        <w:tc>
          <w:tcPr>
            <w:tcW w:w="1041" w:type="dxa"/>
            <w:tcBorders>
              <w:top w:val="nil"/>
              <w:left w:val="nil"/>
              <w:bottom w:val="nil"/>
              <w:right w:val="single" w:sz="8" w:space="0" w:color="auto"/>
            </w:tcBorders>
            <w:shd w:val="clear" w:color="auto" w:fill="auto"/>
            <w:noWrap/>
            <w:vAlign w:val="bottom"/>
            <w:hideMark/>
          </w:tcPr>
          <w:p w14:paraId="5353CDCE"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(REDUÇÃO)</w:t>
            </w:r>
          </w:p>
        </w:tc>
      </w:tr>
      <w:tr w:rsidR="00D73FD9" w:rsidRPr="00D73FD9" w14:paraId="5376AFA5" w14:textId="77777777" w:rsidTr="00D73FD9">
        <w:trPr>
          <w:trHeight w:val="288"/>
        </w:trPr>
        <w:tc>
          <w:tcPr>
            <w:tcW w:w="620" w:type="dxa"/>
            <w:tcBorders>
              <w:top w:val="nil"/>
              <w:left w:val="single" w:sz="8" w:space="0" w:color="auto"/>
              <w:bottom w:val="nil"/>
              <w:right w:val="nil"/>
            </w:tcBorders>
            <w:shd w:val="clear" w:color="auto" w:fill="auto"/>
            <w:noWrap/>
            <w:vAlign w:val="bottom"/>
            <w:hideMark/>
          </w:tcPr>
          <w:p w14:paraId="35720C0A"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nil"/>
              <w:right w:val="single" w:sz="8" w:space="0" w:color="auto"/>
            </w:tcBorders>
            <w:shd w:val="clear" w:color="auto" w:fill="auto"/>
            <w:noWrap/>
            <w:vAlign w:val="bottom"/>
            <w:hideMark/>
          </w:tcPr>
          <w:p w14:paraId="73449F24"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nil"/>
              <w:right w:val="single" w:sz="8" w:space="0" w:color="auto"/>
            </w:tcBorders>
            <w:shd w:val="clear" w:color="auto" w:fill="auto"/>
            <w:noWrap/>
            <w:vAlign w:val="bottom"/>
            <w:hideMark/>
          </w:tcPr>
          <w:p w14:paraId="2A9A1B2B" w14:textId="0B2F9C75" w:rsidR="00D73FD9" w:rsidRPr="00D73FD9" w:rsidRDefault="00D73FD9" w:rsidP="00D73FD9">
            <w:pPr>
              <w:spacing w:after="0" w:line="240" w:lineRule="auto"/>
              <w:jc w:val="center"/>
              <w:rPr>
                <w:rFonts w:ascii="Arial Narrow" w:eastAsia="Times New Roman" w:hAnsi="Arial Narrow" w:cs="Calibri"/>
                <w:b/>
                <w:bCs/>
                <w:sz w:val="20"/>
                <w:szCs w:val="20"/>
              </w:rPr>
            </w:pPr>
          </w:p>
        </w:tc>
        <w:tc>
          <w:tcPr>
            <w:tcW w:w="1180" w:type="dxa"/>
            <w:tcBorders>
              <w:top w:val="nil"/>
              <w:left w:val="nil"/>
              <w:bottom w:val="nil"/>
              <w:right w:val="single" w:sz="8" w:space="0" w:color="auto"/>
            </w:tcBorders>
            <w:shd w:val="clear" w:color="auto" w:fill="auto"/>
            <w:noWrap/>
            <w:vAlign w:val="bottom"/>
            <w:hideMark/>
          </w:tcPr>
          <w:p w14:paraId="75111A75"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180" w:type="dxa"/>
            <w:tcBorders>
              <w:top w:val="nil"/>
              <w:left w:val="nil"/>
              <w:bottom w:val="nil"/>
              <w:right w:val="single" w:sz="8" w:space="0" w:color="auto"/>
            </w:tcBorders>
            <w:shd w:val="clear" w:color="auto" w:fill="auto"/>
            <w:noWrap/>
            <w:vAlign w:val="bottom"/>
            <w:hideMark/>
          </w:tcPr>
          <w:p w14:paraId="2C30F28A"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041" w:type="dxa"/>
            <w:tcBorders>
              <w:top w:val="nil"/>
              <w:left w:val="nil"/>
              <w:bottom w:val="nil"/>
              <w:right w:val="single" w:sz="8" w:space="0" w:color="auto"/>
            </w:tcBorders>
            <w:shd w:val="clear" w:color="auto" w:fill="auto"/>
            <w:noWrap/>
            <w:vAlign w:val="bottom"/>
            <w:hideMark/>
          </w:tcPr>
          <w:p w14:paraId="6CD571AB"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D73FD9" w:rsidRPr="00D73FD9" w14:paraId="53BB5316" w14:textId="77777777" w:rsidTr="00D73FD9">
        <w:trPr>
          <w:trHeight w:val="288"/>
        </w:trPr>
        <w:tc>
          <w:tcPr>
            <w:tcW w:w="620" w:type="dxa"/>
            <w:tcBorders>
              <w:top w:val="nil"/>
              <w:left w:val="single" w:sz="8" w:space="0" w:color="auto"/>
              <w:bottom w:val="nil"/>
              <w:right w:val="nil"/>
            </w:tcBorders>
            <w:shd w:val="clear" w:color="auto" w:fill="auto"/>
            <w:noWrap/>
            <w:vAlign w:val="bottom"/>
            <w:hideMark/>
          </w:tcPr>
          <w:p w14:paraId="0B3D36F8"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nil"/>
              <w:right w:val="single" w:sz="8" w:space="0" w:color="auto"/>
            </w:tcBorders>
            <w:shd w:val="clear" w:color="auto" w:fill="auto"/>
            <w:noWrap/>
            <w:vAlign w:val="bottom"/>
            <w:hideMark/>
          </w:tcPr>
          <w:p w14:paraId="46727C65"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nil"/>
              <w:right w:val="single" w:sz="8" w:space="0" w:color="auto"/>
            </w:tcBorders>
            <w:shd w:val="clear" w:color="auto" w:fill="auto"/>
            <w:noWrap/>
            <w:vAlign w:val="bottom"/>
            <w:hideMark/>
          </w:tcPr>
          <w:p w14:paraId="311B004A"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2022-2023</w:t>
            </w:r>
          </w:p>
        </w:tc>
        <w:tc>
          <w:tcPr>
            <w:tcW w:w="1180" w:type="dxa"/>
            <w:tcBorders>
              <w:top w:val="nil"/>
              <w:left w:val="nil"/>
              <w:bottom w:val="nil"/>
              <w:right w:val="single" w:sz="8" w:space="0" w:color="auto"/>
            </w:tcBorders>
            <w:shd w:val="clear" w:color="auto" w:fill="auto"/>
            <w:noWrap/>
            <w:vAlign w:val="bottom"/>
            <w:hideMark/>
          </w:tcPr>
          <w:p w14:paraId="73E6E94D"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2023-2024</w:t>
            </w:r>
          </w:p>
        </w:tc>
        <w:tc>
          <w:tcPr>
            <w:tcW w:w="1180" w:type="dxa"/>
            <w:tcBorders>
              <w:top w:val="nil"/>
              <w:left w:val="nil"/>
              <w:bottom w:val="nil"/>
              <w:right w:val="single" w:sz="8" w:space="0" w:color="auto"/>
            </w:tcBorders>
            <w:shd w:val="clear" w:color="auto" w:fill="auto"/>
            <w:noWrap/>
            <w:vAlign w:val="bottom"/>
            <w:hideMark/>
          </w:tcPr>
          <w:p w14:paraId="7C9127AE"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041" w:type="dxa"/>
            <w:tcBorders>
              <w:top w:val="nil"/>
              <w:left w:val="nil"/>
              <w:bottom w:val="nil"/>
              <w:right w:val="single" w:sz="8" w:space="0" w:color="auto"/>
            </w:tcBorders>
            <w:shd w:val="clear" w:color="auto" w:fill="auto"/>
            <w:noWrap/>
            <w:vAlign w:val="bottom"/>
            <w:hideMark/>
          </w:tcPr>
          <w:p w14:paraId="67AC3006"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D73FD9" w:rsidRPr="00D73FD9" w14:paraId="0444C8D5" w14:textId="77777777" w:rsidTr="00D73FD9">
        <w:trPr>
          <w:trHeight w:val="288"/>
        </w:trPr>
        <w:tc>
          <w:tcPr>
            <w:tcW w:w="620" w:type="dxa"/>
            <w:tcBorders>
              <w:top w:val="nil"/>
              <w:left w:val="single" w:sz="8" w:space="0" w:color="auto"/>
              <w:bottom w:val="single" w:sz="8" w:space="0" w:color="auto"/>
              <w:right w:val="nil"/>
            </w:tcBorders>
            <w:shd w:val="clear" w:color="auto" w:fill="auto"/>
            <w:noWrap/>
            <w:vAlign w:val="bottom"/>
            <w:hideMark/>
          </w:tcPr>
          <w:p w14:paraId="546F44F6"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single" w:sz="8" w:space="0" w:color="auto"/>
              <w:right w:val="single" w:sz="8" w:space="0" w:color="auto"/>
            </w:tcBorders>
            <w:shd w:val="clear" w:color="auto" w:fill="auto"/>
            <w:noWrap/>
            <w:vAlign w:val="bottom"/>
            <w:hideMark/>
          </w:tcPr>
          <w:p w14:paraId="4BB586A1"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14:paraId="0DFAB299"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80" w:type="dxa"/>
            <w:tcBorders>
              <w:top w:val="nil"/>
              <w:left w:val="nil"/>
              <w:bottom w:val="single" w:sz="8" w:space="0" w:color="auto"/>
              <w:right w:val="single" w:sz="8" w:space="0" w:color="auto"/>
            </w:tcBorders>
            <w:shd w:val="clear" w:color="auto" w:fill="auto"/>
            <w:noWrap/>
            <w:vAlign w:val="bottom"/>
            <w:hideMark/>
          </w:tcPr>
          <w:p w14:paraId="65A23E78"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80" w:type="dxa"/>
            <w:tcBorders>
              <w:top w:val="nil"/>
              <w:left w:val="nil"/>
              <w:bottom w:val="single" w:sz="8" w:space="0" w:color="auto"/>
              <w:right w:val="single" w:sz="8" w:space="0" w:color="auto"/>
            </w:tcBorders>
            <w:shd w:val="clear" w:color="auto" w:fill="auto"/>
            <w:noWrap/>
            <w:vAlign w:val="bottom"/>
            <w:hideMark/>
          </w:tcPr>
          <w:p w14:paraId="1C4365DA"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041" w:type="dxa"/>
            <w:tcBorders>
              <w:top w:val="nil"/>
              <w:left w:val="nil"/>
              <w:bottom w:val="single" w:sz="8" w:space="0" w:color="auto"/>
              <w:right w:val="single" w:sz="8" w:space="0" w:color="auto"/>
            </w:tcBorders>
            <w:shd w:val="clear" w:color="auto" w:fill="auto"/>
            <w:noWrap/>
            <w:vAlign w:val="bottom"/>
            <w:hideMark/>
          </w:tcPr>
          <w:p w14:paraId="60A71105"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 </w:t>
            </w:r>
          </w:p>
        </w:tc>
      </w:tr>
      <w:tr w:rsidR="00D73FD9" w:rsidRPr="00D73FD9" w14:paraId="2CF53829" w14:textId="77777777" w:rsidTr="00D73FD9">
        <w:trPr>
          <w:trHeight w:val="288"/>
        </w:trPr>
        <w:tc>
          <w:tcPr>
            <w:tcW w:w="620" w:type="dxa"/>
            <w:tcBorders>
              <w:top w:val="nil"/>
              <w:left w:val="single" w:sz="8" w:space="0" w:color="auto"/>
              <w:bottom w:val="dashed" w:sz="4" w:space="0" w:color="auto"/>
              <w:right w:val="single" w:sz="8" w:space="0" w:color="auto"/>
            </w:tcBorders>
            <w:shd w:val="clear" w:color="auto" w:fill="auto"/>
            <w:noWrap/>
            <w:vAlign w:val="bottom"/>
            <w:hideMark/>
          </w:tcPr>
          <w:p w14:paraId="5DD948F3"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dashed" w:sz="4" w:space="0" w:color="auto"/>
              <w:left w:val="nil"/>
              <w:bottom w:val="dashed" w:sz="4" w:space="0" w:color="auto"/>
              <w:right w:val="single" w:sz="8" w:space="0" w:color="auto"/>
            </w:tcBorders>
            <w:shd w:val="clear" w:color="auto" w:fill="auto"/>
            <w:noWrap/>
            <w:vAlign w:val="bottom"/>
            <w:hideMark/>
          </w:tcPr>
          <w:p w14:paraId="73D08D9B"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RECEITAS </w:t>
            </w:r>
          </w:p>
        </w:tc>
        <w:tc>
          <w:tcPr>
            <w:tcW w:w="1480" w:type="dxa"/>
            <w:tcBorders>
              <w:top w:val="dotted" w:sz="4" w:space="0" w:color="auto"/>
              <w:left w:val="single" w:sz="8" w:space="0" w:color="auto"/>
              <w:bottom w:val="dotted" w:sz="4" w:space="0" w:color="auto"/>
              <w:right w:val="single" w:sz="8" w:space="0" w:color="auto"/>
            </w:tcBorders>
            <w:shd w:val="clear" w:color="auto" w:fill="auto"/>
            <w:noWrap/>
            <w:vAlign w:val="bottom"/>
            <w:hideMark/>
          </w:tcPr>
          <w:p w14:paraId="22D572C4" w14:textId="77777777" w:rsidR="00D73FD9" w:rsidRPr="00D73FD9" w:rsidRDefault="00D73FD9" w:rsidP="00D73FD9">
            <w:pPr>
              <w:spacing w:after="0" w:line="240" w:lineRule="auto"/>
              <w:rPr>
                <w:rFonts w:ascii="Calibri" w:eastAsia="Times New Roman" w:hAnsi="Calibri" w:cs="Calibri"/>
                <w:sz w:val="20"/>
                <w:szCs w:val="20"/>
              </w:rPr>
            </w:pPr>
            <w:r>
              <w:rPr>
                <w:rFonts w:ascii="Calibri" w:hAnsi="Calibri"/>
                <w:sz w:val="20"/>
              </w:rPr>
              <w:t> </w:t>
            </w:r>
          </w:p>
        </w:tc>
        <w:tc>
          <w:tcPr>
            <w:tcW w:w="1180" w:type="dxa"/>
            <w:tcBorders>
              <w:top w:val="dotted" w:sz="4" w:space="0" w:color="auto"/>
              <w:left w:val="nil"/>
              <w:bottom w:val="dotted" w:sz="4" w:space="0" w:color="auto"/>
              <w:right w:val="single" w:sz="8" w:space="0" w:color="auto"/>
            </w:tcBorders>
            <w:shd w:val="clear" w:color="auto" w:fill="auto"/>
            <w:noWrap/>
            <w:vAlign w:val="bottom"/>
            <w:hideMark/>
          </w:tcPr>
          <w:p w14:paraId="71A07BA1" w14:textId="77777777" w:rsidR="00D73FD9" w:rsidRPr="00D73FD9" w:rsidRDefault="00D73FD9" w:rsidP="00D73FD9">
            <w:pPr>
              <w:spacing w:after="0" w:line="240" w:lineRule="auto"/>
              <w:rPr>
                <w:rFonts w:ascii="Calibri" w:eastAsia="Times New Roman" w:hAnsi="Calibri" w:cs="Calibri"/>
                <w:sz w:val="20"/>
                <w:szCs w:val="20"/>
              </w:rPr>
            </w:pPr>
            <w:r>
              <w:rPr>
                <w:rFonts w:ascii="Calibri" w:hAnsi="Calibri"/>
                <w:sz w:val="20"/>
              </w:rPr>
              <w:t> </w:t>
            </w:r>
          </w:p>
        </w:tc>
        <w:tc>
          <w:tcPr>
            <w:tcW w:w="1180" w:type="dxa"/>
            <w:tcBorders>
              <w:top w:val="dotted" w:sz="4" w:space="0" w:color="auto"/>
              <w:left w:val="nil"/>
              <w:bottom w:val="dotted" w:sz="4" w:space="0" w:color="auto"/>
              <w:right w:val="single" w:sz="8" w:space="0" w:color="auto"/>
            </w:tcBorders>
            <w:shd w:val="clear" w:color="auto" w:fill="auto"/>
            <w:noWrap/>
            <w:vAlign w:val="bottom"/>
            <w:hideMark/>
          </w:tcPr>
          <w:p w14:paraId="34B3B2B2" w14:textId="77777777" w:rsidR="00D73FD9" w:rsidRPr="00D73FD9" w:rsidRDefault="00D73FD9" w:rsidP="00D73FD9">
            <w:pPr>
              <w:spacing w:after="0" w:line="240" w:lineRule="auto"/>
              <w:rPr>
                <w:rFonts w:ascii="Calibri" w:eastAsia="Times New Roman" w:hAnsi="Calibri" w:cs="Calibri"/>
                <w:sz w:val="20"/>
                <w:szCs w:val="20"/>
              </w:rPr>
            </w:pPr>
            <w:r>
              <w:rPr>
                <w:rFonts w:ascii="Calibri" w:hAnsi="Calibri"/>
                <w:sz w:val="20"/>
              </w:rPr>
              <w:t> </w:t>
            </w:r>
          </w:p>
        </w:tc>
        <w:tc>
          <w:tcPr>
            <w:tcW w:w="1041" w:type="dxa"/>
            <w:tcBorders>
              <w:top w:val="dotted" w:sz="4" w:space="0" w:color="auto"/>
              <w:left w:val="nil"/>
              <w:bottom w:val="dotted" w:sz="4" w:space="0" w:color="auto"/>
              <w:right w:val="single" w:sz="8" w:space="0" w:color="auto"/>
            </w:tcBorders>
            <w:shd w:val="clear" w:color="auto" w:fill="auto"/>
            <w:noWrap/>
            <w:vAlign w:val="bottom"/>
            <w:hideMark/>
          </w:tcPr>
          <w:p w14:paraId="6CDB1D05" w14:textId="77777777" w:rsidR="00D73FD9" w:rsidRPr="00D73FD9" w:rsidRDefault="00D73FD9" w:rsidP="00D73FD9">
            <w:pPr>
              <w:spacing w:after="0" w:line="240" w:lineRule="auto"/>
              <w:rPr>
                <w:rFonts w:ascii="Calibri" w:eastAsia="Times New Roman" w:hAnsi="Calibri" w:cs="Calibri"/>
                <w:sz w:val="20"/>
                <w:szCs w:val="20"/>
              </w:rPr>
            </w:pPr>
            <w:r>
              <w:rPr>
                <w:rFonts w:ascii="Calibri" w:hAnsi="Calibri"/>
                <w:sz w:val="20"/>
              </w:rPr>
              <w:t> </w:t>
            </w:r>
          </w:p>
        </w:tc>
      </w:tr>
      <w:tr w:rsidR="00D73FD9" w:rsidRPr="00D73FD9" w14:paraId="087A3A95" w14:textId="77777777" w:rsidTr="00D73FD9">
        <w:trPr>
          <w:trHeight w:val="288"/>
        </w:trPr>
        <w:tc>
          <w:tcPr>
            <w:tcW w:w="620" w:type="dxa"/>
            <w:tcBorders>
              <w:top w:val="nil"/>
              <w:left w:val="single" w:sz="8" w:space="0" w:color="auto"/>
              <w:bottom w:val="dashed" w:sz="4" w:space="0" w:color="auto"/>
              <w:right w:val="single" w:sz="8" w:space="0" w:color="auto"/>
            </w:tcBorders>
            <w:shd w:val="clear" w:color="auto" w:fill="auto"/>
            <w:noWrap/>
            <w:vAlign w:val="bottom"/>
            <w:hideMark/>
          </w:tcPr>
          <w:p w14:paraId="567853BC"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A</w:t>
            </w:r>
          </w:p>
        </w:tc>
        <w:tc>
          <w:tcPr>
            <w:tcW w:w="3980" w:type="dxa"/>
            <w:tcBorders>
              <w:top w:val="nil"/>
              <w:left w:val="nil"/>
              <w:bottom w:val="dashed" w:sz="4" w:space="0" w:color="auto"/>
              <w:right w:val="single" w:sz="8" w:space="0" w:color="auto"/>
            </w:tcBorders>
            <w:shd w:val="clear" w:color="auto" w:fill="auto"/>
            <w:noWrap/>
            <w:vAlign w:val="bottom"/>
            <w:hideMark/>
          </w:tcPr>
          <w:p w14:paraId="61314124"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Quotas anuais obrigatórias </w:t>
            </w:r>
          </w:p>
        </w:tc>
        <w:tc>
          <w:tcPr>
            <w:tcW w:w="1480" w:type="dxa"/>
            <w:tcBorders>
              <w:top w:val="nil"/>
              <w:left w:val="single" w:sz="8" w:space="0" w:color="auto"/>
              <w:bottom w:val="dotted" w:sz="4" w:space="0" w:color="auto"/>
              <w:right w:val="single" w:sz="8" w:space="0" w:color="auto"/>
            </w:tcBorders>
            <w:shd w:val="clear" w:color="auto" w:fill="auto"/>
            <w:noWrap/>
            <w:vAlign w:val="bottom"/>
            <w:hideMark/>
          </w:tcPr>
          <w:p w14:paraId="399CE6DB"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21.148.050 </w:t>
            </w:r>
          </w:p>
        </w:tc>
        <w:tc>
          <w:tcPr>
            <w:tcW w:w="1180" w:type="dxa"/>
            <w:tcBorders>
              <w:top w:val="nil"/>
              <w:left w:val="nil"/>
              <w:bottom w:val="dotted" w:sz="4" w:space="0" w:color="auto"/>
              <w:right w:val="single" w:sz="8" w:space="0" w:color="auto"/>
            </w:tcBorders>
            <w:shd w:val="clear" w:color="auto" w:fill="auto"/>
            <w:noWrap/>
            <w:vAlign w:val="bottom"/>
            <w:hideMark/>
          </w:tcPr>
          <w:p w14:paraId="53514529"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21.148.050 </w:t>
            </w:r>
          </w:p>
        </w:tc>
        <w:tc>
          <w:tcPr>
            <w:tcW w:w="1180" w:type="dxa"/>
            <w:tcBorders>
              <w:top w:val="nil"/>
              <w:left w:val="nil"/>
              <w:bottom w:val="dotted" w:sz="4" w:space="0" w:color="auto"/>
              <w:right w:val="single" w:sz="8" w:space="0" w:color="auto"/>
            </w:tcBorders>
            <w:shd w:val="clear" w:color="auto" w:fill="auto"/>
            <w:noWrap/>
            <w:vAlign w:val="bottom"/>
            <w:hideMark/>
          </w:tcPr>
          <w:p w14:paraId="6FD71B6B"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   </w:t>
            </w:r>
          </w:p>
        </w:tc>
        <w:tc>
          <w:tcPr>
            <w:tcW w:w="1041" w:type="dxa"/>
            <w:tcBorders>
              <w:top w:val="nil"/>
              <w:left w:val="nil"/>
              <w:bottom w:val="dotted" w:sz="4" w:space="0" w:color="auto"/>
              <w:right w:val="single" w:sz="8" w:space="0" w:color="auto"/>
            </w:tcBorders>
            <w:shd w:val="clear" w:color="auto" w:fill="auto"/>
            <w:noWrap/>
            <w:vAlign w:val="bottom"/>
            <w:hideMark/>
          </w:tcPr>
          <w:p w14:paraId="2A43DCCC"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0%</w:t>
            </w:r>
          </w:p>
        </w:tc>
      </w:tr>
      <w:tr w:rsidR="00D73FD9" w:rsidRPr="00D73FD9" w14:paraId="419C977C" w14:textId="77777777" w:rsidTr="00D73FD9">
        <w:trPr>
          <w:trHeight w:val="288"/>
        </w:trPr>
        <w:tc>
          <w:tcPr>
            <w:tcW w:w="620" w:type="dxa"/>
            <w:tcBorders>
              <w:top w:val="nil"/>
              <w:left w:val="single" w:sz="8" w:space="0" w:color="auto"/>
              <w:bottom w:val="dashed" w:sz="4" w:space="0" w:color="auto"/>
              <w:right w:val="single" w:sz="8" w:space="0" w:color="auto"/>
            </w:tcBorders>
            <w:shd w:val="clear" w:color="auto" w:fill="auto"/>
            <w:noWrap/>
            <w:vAlign w:val="bottom"/>
            <w:hideMark/>
          </w:tcPr>
          <w:p w14:paraId="542609A5"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B</w:t>
            </w:r>
          </w:p>
        </w:tc>
        <w:tc>
          <w:tcPr>
            <w:tcW w:w="3980" w:type="dxa"/>
            <w:tcBorders>
              <w:top w:val="nil"/>
              <w:left w:val="nil"/>
              <w:bottom w:val="dashed" w:sz="4" w:space="0" w:color="auto"/>
              <w:right w:val="single" w:sz="8" w:space="0" w:color="auto"/>
            </w:tcBorders>
            <w:shd w:val="clear" w:color="auto" w:fill="auto"/>
            <w:noWrap/>
            <w:vAlign w:val="bottom"/>
            <w:hideMark/>
          </w:tcPr>
          <w:p w14:paraId="524CDC87"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Juros a receber </w:t>
            </w:r>
          </w:p>
        </w:tc>
        <w:tc>
          <w:tcPr>
            <w:tcW w:w="1480" w:type="dxa"/>
            <w:tcBorders>
              <w:top w:val="nil"/>
              <w:left w:val="single" w:sz="8" w:space="0" w:color="auto"/>
              <w:bottom w:val="dotted" w:sz="4" w:space="0" w:color="auto"/>
              <w:right w:val="single" w:sz="8" w:space="0" w:color="auto"/>
            </w:tcBorders>
            <w:shd w:val="clear" w:color="auto" w:fill="auto"/>
            <w:noWrap/>
            <w:vAlign w:val="bottom"/>
            <w:hideMark/>
          </w:tcPr>
          <w:p w14:paraId="69B4FBDC"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180.000 </w:t>
            </w:r>
          </w:p>
        </w:tc>
        <w:tc>
          <w:tcPr>
            <w:tcW w:w="1180" w:type="dxa"/>
            <w:tcBorders>
              <w:top w:val="nil"/>
              <w:left w:val="nil"/>
              <w:bottom w:val="dotted" w:sz="4" w:space="0" w:color="auto"/>
              <w:right w:val="single" w:sz="8" w:space="0" w:color="auto"/>
            </w:tcBorders>
            <w:shd w:val="clear" w:color="auto" w:fill="auto"/>
            <w:noWrap/>
            <w:vAlign w:val="bottom"/>
            <w:hideMark/>
          </w:tcPr>
          <w:p w14:paraId="5F2F1870"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240.000 </w:t>
            </w:r>
          </w:p>
        </w:tc>
        <w:tc>
          <w:tcPr>
            <w:tcW w:w="1180" w:type="dxa"/>
            <w:tcBorders>
              <w:top w:val="nil"/>
              <w:left w:val="nil"/>
              <w:bottom w:val="dotted" w:sz="4" w:space="0" w:color="auto"/>
              <w:right w:val="single" w:sz="8" w:space="0" w:color="auto"/>
            </w:tcBorders>
            <w:shd w:val="clear" w:color="auto" w:fill="auto"/>
            <w:noWrap/>
            <w:vAlign w:val="bottom"/>
            <w:hideMark/>
          </w:tcPr>
          <w:p w14:paraId="2CC961A5"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60.000 </w:t>
            </w:r>
          </w:p>
        </w:tc>
        <w:tc>
          <w:tcPr>
            <w:tcW w:w="1041" w:type="dxa"/>
            <w:tcBorders>
              <w:top w:val="nil"/>
              <w:left w:val="nil"/>
              <w:bottom w:val="dotted" w:sz="4" w:space="0" w:color="auto"/>
              <w:right w:val="single" w:sz="8" w:space="0" w:color="auto"/>
            </w:tcBorders>
            <w:shd w:val="clear" w:color="auto" w:fill="auto"/>
            <w:noWrap/>
            <w:vAlign w:val="bottom"/>
            <w:hideMark/>
          </w:tcPr>
          <w:p w14:paraId="44B3D26E"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33%</w:t>
            </w:r>
          </w:p>
        </w:tc>
      </w:tr>
      <w:tr w:rsidR="00D73FD9" w:rsidRPr="00D73FD9" w14:paraId="40D071A1" w14:textId="77777777" w:rsidTr="00D73FD9">
        <w:trPr>
          <w:trHeight w:val="288"/>
        </w:trPr>
        <w:tc>
          <w:tcPr>
            <w:tcW w:w="620" w:type="dxa"/>
            <w:tcBorders>
              <w:top w:val="nil"/>
              <w:left w:val="single" w:sz="8" w:space="0" w:color="auto"/>
              <w:bottom w:val="dashed" w:sz="4" w:space="0" w:color="auto"/>
              <w:right w:val="single" w:sz="8" w:space="0" w:color="auto"/>
            </w:tcBorders>
            <w:shd w:val="clear" w:color="auto" w:fill="auto"/>
            <w:noWrap/>
            <w:vAlign w:val="bottom"/>
            <w:hideMark/>
          </w:tcPr>
          <w:p w14:paraId="2F6C3B80"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C</w:t>
            </w:r>
          </w:p>
        </w:tc>
        <w:tc>
          <w:tcPr>
            <w:tcW w:w="3980" w:type="dxa"/>
            <w:tcBorders>
              <w:top w:val="nil"/>
              <w:left w:val="nil"/>
              <w:bottom w:val="dashed" w:sz="4" w:space="0" w:color="auto"/>
              <w:right w:val="single" w:sz="8" w:space="0" w:color="auto"/>
            </w:tcBorders>
            <w:shd w:val="clear" w:color="auto" w:fill="auto"/>
            <w:noWrap/>
            <w:vAlign w:val="bottom"/>
            <w:hideMark/>
          </w:tcPr>
          <w:p w14:paraId="663373F7"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Outras receitas </w:t>
            </w:r>
          </w:p>
        </w:tc>
        <w:tc>
          <w:tcPr>
            <w:tcW w:w="1480" w:type="dxa"/>
            <w:tcBorders>
              <w:top w:val="nil"/>
              <w:left w:val="single" w:sz="8" w:space="0" w:color="auto"/>
              <w:bottom w:val="dotted" w:sz="4" w:space="0" w:color="auto"/>
              <w:right w:val="single" w:sz="8" w:space="0" w:color="auto"/>
            </w:tcBorders>
            <w:shd w:val="clear" w:color="auto" w:fill="auto"/>
            <w:noWrap/>
            <w:vAlign w:val="bottom"/>
            <w:hideMark/>
          </w:tcPr>
          <w:p w14:paraId="5EF4BC18"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4.213.104 </w:t>
            </w:r>
          </w:p>
        </w:tc>
        <w:tc>
          <w:tcPr>
            <w:tcW w:w="1180" w:type="dxa"/>
            <w:tcBorders>
              <w:top w:val="nil"/>
              <w:left w:val="nil"/>
              <w:bottom w:val="dotted" w:sz="4" w:space="0" w:color="auto"/>
              <w:right w:val="single" w:sz="8" w:space="0" w:color="auto"/>
            </w:tcBorders>
            <w:shd w:val="clear" w:color="auto" w:fill="auto"/>
            <w:noWrap/>
            <w:vAlign w:val="bottom"/>
            <w:hideMark/>
          </w:tcPr>
          <w:p w14:paraId="6DE0DE1A"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7.000.000 </w:t>
            </w:r>
          </w:p>
        </w:tc>
        <w:tc>
          <w:tcPr>
            <w:tcW w:w="1180" w:type="dxa"/>
            <w:tcBorders>
              <w:top w:val="nil"/>
              <w:left w:val="nil"/>
              <w:bottom w:val="dotted" w:sz="4" w:space="0" w:color="auto"/>
              <w:right w:val="single" w:sz="8" w:space="0" w:color="auto"/>
            </w:tcBorders>
            <w:shd w:val="clear" w:color="auto" w:fill="auto"/>
            <w:noWrap/>
            <w:vAlign w:val="bottom"/>
            <w:hideMark/>
          </w:tcPr>
          <w:p w14:paraId="66B56F2C"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2.786.896 </w:t>
            </w:r>
          </w:p>
        </w:tc>
        <w:tc>
          <w:tcPr>
            <w:tcW w:w="1041" w:type="dxa"/>
            <w:tcBorders>
              <w:top w:val="nil"/>
              <w:left w:val="nil"/>
              <w:bottom w:val="dotted" w:sz="4" w:space="0" w:color="auto"/>
              <w:right w:val="single" w:sz="8" w:space="0" w:color="auto"/>
            </w:tcBorders>
            <w:shd w:val="clear" w:color="auto" w:fill="auto"/>
            <w:noWrap/>
            <w:vAlign w:val="bottom"/>
            <w:hideMark/>
          </w:tcPr>
          <w:p w14:paraId="5976E232"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66%</w:t>
            </w:r>
          </w:p>
        </w:tc>
      </w:tr>
      <w:tr w:rsidR="00D73FD9" w:rsidRPr="00D73FD9" w14:paraId="306975E0" w14:textId="77777777" w:rsidTr="00D73FD9">
        <w:trPr>
          <w:trHeight w:val="300"/>
        </w:trPr>
        <w:tc>
          <w:tcPr>
            <w:tcW w:w="620" w:type="dxa"/>
            <w:tcBorders>
              <w:top w:val="nil"/>
              <w:left w:val="single" w:sz="8" w:space="0" w:color="auto"/>
              <w:bottom w:val="nil"/>
              <w:right w:val="single" w:sz="8" w:space="0" w:color="auto"/>
            </w:tcBorders>
            <w:shd w:val="clear" w:color="auto" w:fill="auto"/>
            <w:noWrap/>
            <w:vAlign w:val="bottom"/>
            <w:hideMark/>
          </w:tcPr>
          <w:p w14:paraId="17A402AF"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D</w:t>
            </w:r>
          </w:p>
        </w:tc>
        <w:tc>
          <w:tcPr>
            <w:tcW w:w="3980" w:type="dxa"/>
            <w:tcBorders>
              <w:top w:val="nil"/>
              <w:left w:val="nil"/>
              <w:bottom w:val="nil"/>
              <w:right w:val="single" w:sz="8" w:space="0" w:color="auto"/>
            </w:tcBorders>
            <w:shd w:val="clear" w:color="auto" w:fill="auto"/>
            <w:noWrap/>
            <w:vAlign w:val="bottom"/>
            <w:hideMark/>
          </w:tcPr>
          <w:p w14:paraId="0A07BB36"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Contribuições dos doadores </w:t>
            </w:r>
          </w:p>
        </w:tc>
        <w:tc>
          <w:tcPr>
            <w:tcW w:w="1480" w:type="dxa"/>
            <w:tcBorders>
              <w:top w:val="nil"/>
              <w:left w:val="single" w:sz="8" w:space="0" w:color="auto"/>
              <w:bottom w:val="nil"/>
              <w:right w:val="single" w:sz="8" w:space="0" w:color="auto"/>
            </w:tcBorders>
            <w:shd w:val="clear" w:color="auto" w:fill="auto"/>
            <w:noWrap/>
            <w:vAlign w:val="bottom"/>
            <w:hideMark/>
          </w:tcPr>
          <w:p w14:paraId="65A5AC9B"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25.881.788 </w:t>
            </w:r>
          </w:p>
        </w:tc>
        <w:tc>
          <w:tcPr>
            <w:tcW w:w="1180" w:type="dxa"/>
            <w:tcBorders>
              <w:top w:val="nil"/>
              <w:left w:val="nil"/>
              <w:bottom w:val="nil"/>
              <w:right w:val="single" w:sz="8" w:space="0" w:color="auto"/>
            </w:tcBorders>
            <w:shd w:val="clear" w:color="auto" w:fill="auto"/>
            <w:noWrap/>
            <w:vAlign w:val="bottom"/>
            <w:hideMark/>
          </w:tcPr>
          <w:p w14:paraId="1FDB93AC"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                  -   </w:t>
            </w:r>
          </w:p>
        </w:tc>
        <w:tc>
          <w:tcPr>
            <w:tcW w:w="1180" w:type="dxa"/>
            <w:tcBorders>
              <w:top w:val="nil"/>
              <w:left w:val="nil"/>
              <w:bottom w:val="dotted" w:sz="4" w:space="0" w:color="auto"/>
              <w:right w:val="single" w:sz="8" w:space="0" w:color="auto"/>
            </w:tcBorders>
            <w:shd w:val="clear" w:color="auto" w:fill="auto"/>
            <w:noWrap/>
            <w:vAlign w:val="bottom"/>
            <w:hideMark/>
          </w:tcPr>
          <w:p w14:paraId="45BCED66"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 xml:space="preserve">-25.881.788 </w:t>
            </w:r>
          </w:p>
        </w:tc>
        <w:tc>
          <w:tcPr>
            <w:tcW w:w="1041" w:type="dxa"/>
            <w:tcBorders>
              <w:top w:val="nil"/>
              <w:left w:val="nil"/>
              <w:bottom w:val="nil"/>
              <w:right w:val="single" w:sz="8" w:space="0" w:color="auto"/>
            </w:tcBorders>
            <w:shd w:val="clear" w:color="auto" w:fill="auto"/>
            <w:noWrap/>
            <w:vAlign w:val="bottom"/>
            <w:hideMark/>
          </w:tcPr>
          <w:p w14:paraId="7BEC3991"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-100%</w:t>
            </w:r>
          </w:p>
        </w:tc>
      </w:tr>
      <w:tr w:rsidR="00D73FD9" w:rsidRPr="00D73FD9" w14:paraId="45979404" w14:textId="77777777" w:rsidTr="00D73FD9">
        <w:trPr>
          <w:trHeight w:val="300"/>
        </w:trPr>
        <w:tc>
          <w:tcPr>
            <w:tcW w:w="6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58DBD223" w14:textId="77777777" w:rsidR="00D73FD9" w:rsidRPr="00D73FD9" w:rsidRDefault="00D73FD9" w:rsidP="00D73FD9">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single" w:sz="8" w:space="0" w:color="auto"/>
              <w:left w:val="nil"/>
              <w:bottom w:val="single" w:sz="8" w:space="0" w:color="auto"/>
              <w:right w:val="single" w:sz="8" w:space="0" w:color="auto"/>
            </w:tcBorders>
            <w:shd w:val="clear" w:color="000000" w:fill="BFBFBF"/>
            <w:noWrap/>
            <w:vAlign w:val="bottom"/>
            <w:hideMark/>
          </w:tcPr>
          <w:p w14:paraId="041978A9" w14:textId="77777777" w:rsidR="00D73FD9" w:rsidRPr="00D73FD9" w:rsidRDefault="00D73FD9" w:rsidP="00D73FD9">
            <w:pPr>
              <w:spacing w:after="0" w:line="240" w:lineRule="auto"/>
              <w:rPr>
                <w:rFonts w:ascii="Arial Narrow" w:eastAsia="Times New Roman" w:hAnsi="Arial Narrow" w:cs="Calibri"/>
                <w:b/>
                <w:bCs/>
                <w:sz w:val="20"/>
                <w:szCs w:val="20"/>
              </w:rPr>
            </w:pPr>
            <w:r>
              <w:rPr>
                <w:rFonts w:ascii="Arial Narrow" w:hAnsi="Arial Narrow"/>
                <w:b/>
                <w:sz w:val="20"/>
              </w:rPr>
              <w:t xml:space="preserve"> RECEITAS TOTAIS </w:t>
            </w:r>
          </w:p>
        </w:tc>
        <w:tc>
          <w:tcPr>
            <w:tcW w:w="148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6036AD1B" w14:textId="77777777" w:rsidR="00D73FD9" w:rsidRPr="00D73FD9" w:rsidRDefault="00D73FD9"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51.422.942 </w:t>
            </w:r>
          </w:p>
        </w:tc>
        <w:tc>
          <w:tcPr>
            <w:tcW w:w="1180" w:type="dxa"/>
            <w:tcBorders>
              <w:top w:val="single" w:sz="8" w:space="0" w:color="auto"/>
              <w:left w:val="nil"/>
              <w:bottom w:val="single" w:sz="8" w:space="0" w:color="auto"/>
              <w:right w:val="single" w:sz="8" w:space="0" w:color="auto"/>
            </w:tcBorders>
            <w:shd w:val="clear" w:color="000000" w:fill="BFBFBF"/>
            <w:noWrap/>
            <w:vAlign w:val="bottom"/>
            <w:hideMark/>
          </w:tcPr>
          <w:p w14:paraId="2C9BCA1D" w14:textId="77777777" w:rsidR="00D73FD9" w:rsidRPr="00D73FD9" w:rsidRDefault="00D73FD9"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28.388.050 </w:t>
            </w:r>
          </w:p>
        </w:tc>
        <w:tc>
          <w:tcPr>
            <w:tcW w:w="1180" w:type="dxa"/>
            <w:tcBorders>
              <w:top w:val="single" w:sz="8" w:space="0" w:color="auto"/>
              <w:left w:val="nil"/>
              <w:bottom w:val="single" w:sz="8" w:space="0" w:color="auto"/>
              <w:right w:val="single" w:sz="8" w:space="0" w:color="auto"/>
            </w:tcBorders>
            <w:shd w:val="clear" w:color="000000" w:fill="BFBFBF"/>
            <w:noWrap/>
            <w:vAlign w:val="bottom"/>
            <w:hideMark/>
          </w:tcPr>
          <w:p w14:paraId="6FA58430" w14:textId="77777777" w:rsidR="00D73FD9" w:rsidRPr="00D73FD9" w:rsidRDefault="00D73FD9"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23.034.892 </w:t>
            </w:r>
          </w:p>
        </w:tc>
        <w:tc>
          <w:tcPr>
            <w:tcW w:w="1041" w:type="dxa"/>
            <w:tcBorders>
              <w:top w:val="single" w:sz="8" w:space="0" w:color="auto"/>
              <w:left w:val="nil"/>
              <w:bottom w:val="single" w:sz="8" w:space="0" w:color="auto"/>
              <w:right w:val="single" w:sz="8" w:space="0" w:color="auto"/>
            </w:tcBorders>
            <w:shd w:val="clear" w:color="000000" w:fill="BFBFBF"/>
            <w:noWrap/>
            <w:vAlign w:val="bottom"/>
            <w:hideMark/>
          </w:tcPr>
          <w:p w14:paraId="3BCD147B" w14:textId="77777777" w:rsidR="00D73FD9" w:rsidRPr="00D73FD9" w:rsidRDefault="00D73FD9" w:rsidP="00EC59BC">
            <w:pPr>
              <w:spacing w:after="0" w:line="240" w:lineRule="auto"/>
              <w:jc w:val="right"/>
              <w:rPr>
                <w:rFonts w:ascii="Calibri" w:eastAsia="Times New Roman" w:hAnsi="Calibri" w:cs="Calibri"/>
                <w:b/>
                <w:bCs/>
                <w:sz w:val="20"/>
                <w:szCs w:val="20"/>
              </w:rPr>
            </w:pPr>
            <w:r>
              <w:rPr>
                <w:rFonts w:ascii="Calibri" w:hAnsi="Calibri"/>
                <w:b/>
                <w:sz w:val="20"/>
              </w:rPr>
              <w:t>-45%</w:t>
            </w:r>
          </w:p>
        </w:tc>
      </w:tr>
    </w:tbl>
    <w:p w14:paraId="3B434933" w14:textId="5400BCDF" w:rsidR="00E60B52" w:rsidRDefault="00E60B52" w:rsidP="002003BF">
      <w:pPr>
        <w:spacing w:after="0" w:line="240" w:lineRule="auto"/>
        <w:ind w:left="709" w:hanging="709"/>
        <w:jc w:val="both"/>
        <w:rPr>
          <w:rFonts w:ascii="Bookman Old Style" w:hAnsi="Bookman Old Style"/>
          <w:sz w:val="24"/>
          <w:szCs w:val="24"/>
        </w:rPr>
      </w:pPr>
    </w:p>
    <w:p w14:paraId="5EAF79E7" w14:textId="0A113AA3" w:rsidR="00186171" w:rsidRPr="00E111F6" w:rsidRDefault="00186171" w:rsidP="00E111F6">
      <w:pPr>
        <w:pStyle w:val="ListParagraph"/>
        <w:numPr>
          <w:ilvl w:val="0"/>
          <w:numId w:val="32"/>
        </w:numPr>
        <w:spacing w:after="0" w:line="240" w:lineRule="auto"/>
        <w:jc w:val="both"/>
        <w:rPr>
          <w:rFonts w:ascii="Bookman Old Style" w:hAnsi="Bookman Old Style"/>
          <w:b/>
          <w:sz w:val="24"/>
          <w:szCs w:val="24"/>
        </w:rPr>
      </w:pPr>
      <w:r>
        <w:rPr>
          <w:rFonts w:ascii="Bookman Old Style" w:hAnsi="Bookman Old Style"/>
          <w:b/>
          <w:sz w:val="24"/>
        </w:rPr>
        <w:t xml:space="preserve">APONTAMENTOS QUE ACOMPANHAM O ORÇAMENTO: DESPESAS ORÇAMENTADAS: </w:t>
      </w:r>
    </w:p>
    <w:p w14:paraId="27C4CE25" w14:textId="64D0EEB5" w:rsidR="006B0E7D" w:rsidRDefault="006B0E7D" w:rsidP="002003BF">
      <w:pPr>
        <w:pStyle w:val="ListParagraph"/>
        <w:spacing w:after="0" w:line="240" w:lineRule="auto"/>
        <w:ind w:left="709" w:hanging="709"/>
        <w:jc w:val="both"/>
        <w:rPr>
          <w:rFonts w:ascii="Bookman Old Style" w:hAnsi="Bookman Old Style"/>
          <w:b/>
          <w:sz w:val="24"/>
          <w:szCs w:val="24"/>
        </w:rPr>
      </w:pPr>
    </w:p>
    <w:p w14:paraId="3E628FAA" w14:textId="28A198BC" w:rsidR="005D7317" w:rsidRDefault="00E111F6" w:rsidP="002003BF">
      <w:pPr>
        <w:pStyle w:val="ListParagraph"/>
        <w:spacing w:after="0" w:line="240" w:lineRule="auto"/>
        <w:ind w:left="709" w:hanging="709"/>
        <w:jc w:val="both"/>
        <w:rPr>
          <w:rFonts w:ascii="Bookman Old Style" w:hAnsi="Bookman Old Style"/>
          <w:b/>
          <w:sz w:val="24"/>
          <w:szCs w:val="24"/>
        </w:rPr>
      </w:pPr>
      <w:r>
        <w:rPr>
          <w:rFonts w:ascii="Bookman Old Style" w:hAnsi="Bookman Old Style"/>
          <w:b/>
          <w:sz w:val="24"/>
        </w:rPr>
        <w:t>5.1.</w:t>
      </w:r>
      <w:r>
        <w:rPr>
          <w:rFonts w:ascii="Bookman Old Style" w:hAnsi="Bookman Old Style"/>
          <w:b/>
          <w:sz w:val="24"/>
        </w:rPr>
        <w:tab/>
        <w:t>As despesas orçamentadas são as que se apresentam no mapa a seguir:</w:t>
      </w:r>
    </w:p>
    <w:p w14:paraId="7654DA92" w14:textId="3052024F" w:rsidR="00A8079A" w:rsidRDefault="00A8079A" w:rsidP="002003BF">
      <w:pPr>
        <w:pStyle w:val="ListParagraph"/>
        <w:spacing w:after="0" w:line="240" w:lineRule="auto"/>
        <w:ind w:left="709" w:hanging="709"/>
        <w:jc w:val="both"/>
        <w:rPr>
          <w:rFonts w:ascii="Bookman Old Style" w:hAnsi="Bookman Old Style"/>
          <w:b/>
          <w:sz w:val="24"/>
          <w:szCs w:val="24"/>
        </w:rPr>
      </w:pPr>
    </w:p>
    <w:tbl>
      <w:tblPr>
        <w:tblW w:w="9481" w:type="dxa"/>
        <w:tblLook w:val="04A0" w:firstRow="1" w:lastRow="0" w:firstColumn="1" w:lastColumn="0" w:noHBand="0" w:noVBand="1"/>
      </w:tblPr>
      <w:tblGrid>
        <w:gridCol w:w="800"/>
        <w:gridCol w:w="3980"/>
        <w:gridCol w:w="1480"/>
        <w:gridCol w:w="1291"/>
        <w:gridCol w:w="1180"/>
        <w:gridCol w:w="1154"/>
      </w:tblGrid>
      <w:tr w:rsidR="00340598" w:rsidRPr="00340598" w14:paraId="53A71CD5" w14:textId="77777777" w:rsidTr="001B15B2">
        <w:trPr>
          <w:trHeight w:val="288"/>
        </w:trPr>
        <w:tc>
          <w:tcPr>
            <w:tcW w:w="620" w:type="dxa"/>
            <w:tcBorders>
              <w:top w:val="single" w:sz="8" w:space="0" w:color="auto"/>
              <w:left w:val="single" w:sz="8" w:space="0" w:color="auto"/>
              <w:bottom w:val="nil"/>
              <w:right w:val="nil"/>
            </w:tcBorders>
            <w:shd w:val="clear" w:color="auto" w:fill="auto"/>
            <w:noWrap/>
            <w:vAlign w:val="bottom"/>
            <w:hideMark/>
          </w:tcPr>
          <w:p w14:paraId="3B6083EA"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PONTO </w:t>
            </w:r>
          </w:p>
        </w:tc>
        <w:tc>
          <w:tcPr>
            <w:tcW w:w="3980" w:type="dxa"/>
            <w:tcBorders>
              <w:top w:val="single" w:sz="8" w:space="0" w:color="auto"/>
              <w:left w:val="single" w:sz="8" w:space="0" w:color="auto"/>
              <w:bottom w:val="nil"/>
              <w:right w:val="single" w:sz="8" w:space="0" w:color="auto"/>
            </w:tcBorders>
            <w:shd w:val="clear" w:color="auto" w:fill="auto"/>
            <w:noWrap/>
            <w:vAlign w:val="bottom"/>
            <w:hideMark/>
          </w:tcPr>
          <w:p w14:paraId="00B17543" w14:textId="7A2BCBF0"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w:t>
            </w:r>
            <w:r w:rsidR="00BF4CF5">
              <w:rPr>
                <w:rFonts w:ascii="Arial Narrow" w:hAnsi="Arial Narrow"/>
                <w:b/>
                <w:sz w:val="20"/>
              </w:rPr>
              <w:t xml:space="preserve">CATEGORIA DE </w:t>
            </w:r>
            <w:r>
              <w:rPr>
                <w:rFonts w:ascii="Arial Narrow" w:hAnsi="Arial Narrow"/>
                <w:b/>
                <w:sz w:val="20"/>
              </w:rPr>
              <w:t xml:space="preserve">DESPESAS/RECEITAS </w:t>
            </w:r>
          </w:p>
        </w:tc>
        <w:tc>
          <w:tcPr>
            <w:tcW w:w="1480" w:type="dxa"/>
            <w:tcBorders>
              <w:top w:val="single" w:sz="8" w:space="0" w:color="auto"/>
              <w:left w:val="single" w:sz="8" w:space="0" w:color="auto"/>
              <w:bottom w:val="nil"/>
              <w:right w:val="single" w:sz="8" w:space="0" w:color="auto"/>
            </w:tcBorders>
            <w:shd w:val="clear" w:color="auto" w:fill="auto"/>
            <w:noWrap/>
            <w:vAlign w:val="bottom"/>
            <w:hideMark/>
          </w:tcPr>
          <w:p w14:paraId="32EC493B" w14:textId="17D74363" w:rsidR="00340598" w:rsidRPr="00340598" w:rsidRDefault="00BA58B2"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ORÇAMENTO</w:t>
            </w:r>
            <w:r w:rsidR="00340598">
              <w:rPr>
                <w:rFonts w:ascii="Arial Narrow" w:hAnsi="Arial Narrow"/>
                <w:b/>
                <w:sz w:val="20"/>
              </w:rPr>
              <w:t xml:space="preserve"> ACTUAL </w:t>
            </w:r>
          </w:p>
        </w:tc>
        <w:tc>
          <w:tcPr>
            <w:tcW w:w="1180" w:type="dxa"/>
            <w:tcBorders>
              <w:top w:val="single" w:sz="8" w:space="0" w:color="auto"/>
              <w:left w:val="nil"/>
              <w:bottom w:val="nil"/>
              <w:right w:val="single" w:sz="8" w:space="0" w:color="auto"/>
            </w:tcBorders>
            <w:shd w:val="clear" w:color="auto" w:fill="auto"/>
            <w:noWrap/>
            <w:vAlign w:val="bottom"/>
            <w:hideMark/>
          </w:tcPr>
          <w:p w14:paraId="2DC237A0" w14:textId="2D093E33"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PROPOSTA</w:t>
            </w:r>
            <w:r w:rsidR="00BA58B2">
              <w:rPr>
                <w:rFonts w:ascii="Arial Narrow" w:hAnsi="Arial Narrow"/>
                <w:b/>
                <w:sz w:val="20"/>
              </w:rPr>
              <w:t xml:space="preserve"> DE</w:t>
            </w:r>
            <w:r>
              <w:rPr>
                <w:rFonts w:ascii="Arial Narrow" w:hAnsi="Arial Narrow"/>
                <w:b/>
                <w:sz w:val="20"/>
              </w:rPr>
              <w:t xml:space="preserve"> </w:t>
            </w:r>
          </w:p>
        </w:tc>
        <w:tc>
          <w:tcPr>
            <w:tcW w:w="1180" w:type="dxa"/>
            <w:tcBorders>
              <w:top w:val="single" w:sz="8" w:space="0" w:color="auto"/>
              <w:left w:val="nil"/>
              <w:bottom w:val="nil"/>
              <w:right w:val="single" w:sz="8" w:space="0" w:color="auto"/>
            </w:tcBorders>
            <w:shd w:val="clear" w:color="auto" w:fill="auto"/>
            <w:noWrap/>
            <w:vAlign w:val="bottom"/>
            <w:hideMark/>
          </w:tcPr>
          <w:p w14:paraId="0EDCB647"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AUMENTO/ </w:t>
            </w:r>
          </w:p>
        </w:tc>
        <w:tc>
          <w:tcPr>
            <w:tcW w:w="1041" w:type="dxa"/>
            <w:tcBorders>
              <w:top w:val="single" w:sz="8" w:space="0" w:color="auto"/>
              <w:left w:val="nil"/>
              <w:bottom w:val="nil"/>
              <w:right w:val="single" w:sz="8" w:space="0" w:color="auto"/>
            </w:tcBorders>
            <w:shd w:val="clear" w:color="auto" w:fill="auto"/>
            <w:noWrap/>
            <w:vAlign w:val="bottom"/>
            <w:hideMark/>
          </w:tcPr>
          <w:p w14:paraId="44498604"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AUMENTO/ </w:t>
            </w:r>
          </w:p>
        </w:tc>
      </w:tr>
      <w:tr w:rsidR="00340598" w:rsidRPr="00340598" w14:paraId="02BCFC8F" w14:textId="77777777" w:rsidTr="001B15B2">
        <w:trPr>
          <w:trHeight w:val="288"/>
        </w:trPr>
        <w:tc>
          <w:tcPr>
            <w:tcW w:w="620" w:type="dxa"/>
            <w:tcBorders>
              <w:top w:val="nil"/>
              <w:left w:val="single" w:sz="8" w:space="0" w:color="auto"/>
              <w:bottom w:val="nil"/>
              <w:right w:val="nil"/>
            </w:tcBorders>
            <w:shd w:val="clear" w:color="auto" w:fill="auto"/>
            <w:noWrap/>
            <w:vAlign w:val="bottom"/>
            <w:hideMark/>
          </w:tcPr>
          <w:p w14:paraId="4D0A0393"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N.º </w:t>
            </w:r>
          </w:p>
        </w:tc>
        <w:tc>
          <w:tcPr>
            <w:tcW w:w="3980" w:type="dxa"/>
            <w:tcBorders>
              <w:top w:val="nil"/>
              <w:left w:val="single" w:sz="8" w:space="0" w:color="auto"/>
              <w:bottom w:val="nil"/>
              <w:right w:val="single" w:sz="8" w:space="0" w:color="auto"/>
            </w:tcBorders>
            <w:shd w:val="clear" w:color="auto" w:fill="auto"/>
            <w:noWrap/>
            <w:vAlign w:val="bottom"/>
            <w:hideMark/>
          </w:tcPr>
          <w:p w14:paraId="14380355" w14:textId="4A9620EA"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w:t>
            </w:r>
          </w:p>
        </w:tc>
        <w:tc>
          <w:tcPr>
            <w:tcW w:w="1480" w:type="dxa"/>
            <w:tcBorders>
              <w:top w:val="nil"/>
              <w:left w:val="single" w:sz="8" w:space="0" w:color="auto"/>
              <w:bottom w:val="nil"/>
              <w:right w:val="single" w:sz="8" w:space="0" w:color="auto"/>
            </w:tcBorders>
            <w:shd w:val="clear" w:color="auto" w:fill="auto"/>
            <w:noWrap/>
            <w:vAlign w:val="bottom"/>
            <w:hideMark/>
          </w:tcPr>
          <w:p w14:paraId="43E4A10E"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APROVADO</w:t>
            </w:r>
          </w:p>
        </w:tc>
        <w:tc>
          <w:tcPr>
            <w:tcW w:w="1180" w:type="dxa"/>
            <w:tcBorders>
              <w:top w:val="nil"/>
              <w:left w:val="nil"/>
              <w:bottom w:val="nil"/>
              <w:right w:val="single" w:sz="8" w:space="0" w:color="auto"/>
            </w:tcBorders>
            <w:shd w:val="clear" w:color="auto" w:fill="auto"/>
            <w:noWrap/>
            <w:vAlign w:val="bottom"/>
            <w:hideMark/>
          </w:tcPr>
          <w:p w14:paraId="3503735F"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ORÇAMENTO</w:t>
            </w:r>
          </w:p>
        </w:tc>
        <w:tc>
          <w:tcPr>
            <w:tcW w:w="1180" w:type="dxa"/>
            <w:tcBorders>
              <w:top w:val="nil"/>
              <w:left w:val="nil"/>
              <w:bottom w:val="nil"/>
              <w:right w:val="single" w:sz="8" w:space="0" w:color="auto"/>
            </w:tcBorders>
            <w:shd w:val="clear" w:color="auto" w:fill="auto"/>
            <w:noWrap/>
            <w:vAlign w:val="bottom"/>
            <w:hideMark/>
          </w:tcPr>
          <w:p w14:paraId="606DE2D2"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(REDUÇÃO)</w:t>
            </w:r>
          </w:p>
        </w:tc>
        <w:tc>
          <w:tcPr>
            <w:tcW w:w="1041" w:type="dxa"/>
            <w:tcBorders>
              <w:top w:val="nil"/>
              <w:left w:val="nil"/>
              <w:bottom w:val="nil"/>
              <w:right w:val="single" w:sz="8" w:space="0" w:color="auto"/>
            </w:tcBorders>
            <w:shd w:val="clear" w:color="auto" w:fill="auto"/>
            <w:noWrap/>
            <w:vAlign w:val="bottom"/>
            <w:hideMark/>
          </w:tcPr>
          <w:p w14:paraId="72A36DEC"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(REDUÇÃO)</w:t>
            </w:r>
          </w:p>
        </w:tc>
      </w:tr>
      <w:tr w:rsidR="00340598" w:rsidRPr="00340598" w14:paraId="3247EEFE" w14:textId="77777777" w:rsidTr="001B15B2">
        <w:trPr>
          <w:trHeight w:val="288"/>
        </w:trPr>
        <w:tc>
          <w:tcPr>
            <w:tcW w:w="620" w:type="dxa"/>
            <w:tcBorders>
              <w:top w:val="nil"/>
              <w:left w:val="single" w:sz="8" w:space="0" w:color="auto"/>
              <w:bottom w:val="nil"/>
              <w:right w:val="nil"/>
            </w:tcBorders>
            <w:shd w:val="clear" w:color="auto" w:fill="auto"/>
            <w:noWrap/>
            <w:vAlign w:val="bottom"/>
            <w:hideMark/>
          </w:tcPr>
          <w:p w14:paraId="2731BD50"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nil"/>
              <w:right w:val="single" w:sz="8" w:space="0" w:color="auto"/>
            </w:tcBorders>
            <w:shd w:val="clear" w:color="auto" w:fill="auto"/>
            <w:noWrap/>
            <w:vAlign w:val="bottom"/>
            <w:hideMark/>
          </w:tcPr>
          <w:p w14:paraId="3A3864DB"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nil"/>
              <w:right w:val="single" w:sz="8" w:space="0" w:color="auto"/>
            </w:tcBorders>
            <w:shd w:val="clear" w:color="auto" w:fill="auto"/>
            <w:noWrap/>
            <w:vAlign w:val="bottom"/>
            <w:hideMark/>
          </w:tcPr>
          <w:p w14:paraId="2081F848" w14:textId="126DC2CF" w:rsidR="00340598" w:rsidRPr="00340598" w:rsidRDefault="00340598" w:rsidP="001B15B2">
            <w:pPr>
              <w:spacing w:after="0" w:line="240" w:lineRule="auto"/>
              <w:jc w:val="center"/>
              <w:rPr>
                <w:rFonts w:ascii="Arial Narrow" w:eastAsia="Times New Roman" w:hAnsi="Arial Narrow" w:cs="Calibri"/>
                <w:b/>
                <w:bCs/>
                <w:sz w:val="20"/>
                <w:szCs w:val="20"/>
              </w:rPr>
            </w:pPr>
          </w:p>
        </w:tc>
        <w:tc>
          <w:tcPr>
            <w:tcW w:w="1180" w:type="dxa"/>
            <w:tcBorders>
              <w:top w:val="nil"/>
              <w:left w:val="nil"/>
              <w:bottom w:val="nil"/>
              <w:right w:val="single" w:sz="8" w:space="0" w:color="auto"/>
            </w:tcBorders>
            <w:shd w:val="clear" w:color="auto" w:fill="auto"/>
            <w:noWrap/>
            <w:vAlign w:val="bottom"/>
            <w:hideMark/>
          </w:tcPr>
          <w:p w14:paraId="351EAA03"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180" w:type="dxa"/>
            <w:tcBorders>
              <w:top w:val="nil"/>
              <w:left w:val="nil"/>
              <w:bottom w:val="nil"/>
              <w:right w:val="single" w:sz="8" w:space="0" w:color="auto"/>
            </w:tcBorders>
            <w:shd w:val="clear" w:color="auto" w:fill="auto"/>
            <w:noWrap/>
            <w:vAlign w:val="bottom"/>
            <w:hideMark/>
          </w:tcPr>
          <w:p w14:paraId="746D165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041" w:type="dxa"/>
            <w:tcBorders>
              <w:top w:val="nil"/>
              <w:left w:val="nil"/>
              <w:bottom w:val="nil"/>
              <w:right w:val="single" w:sz="8" w:space="0" w:color="auto"/>
            </w:tcBorders>
            <w:shd w:val="clear" w:color="auto" w:fill="auto"/>
            <w:noWrap/>
            <w:vAlign w:val="bottom"/>
            <w:hideMark/>
          </w:tcPr>
          <w:p w14:paraId="17FF2555"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340598" w:rsidRPr="00340598" w14:paraId="4605AEF3" w14:textId="77777777" w:rsidTr="001B15B2">
        <w:trPr>
          <w:trHeight w:val="288"/>
        </w:trPr>
        <w:tc>
          <w:tcPr>
            <w:tcW w:w="620" w:type="dxa"/>
            <w:tcBorders>
              <w:top w:val="nil"/>
              <w:left w:val="single" w:sz="8" w:space="0" w:color="auto"/>
              <w:bottom w:val="nil"/>
              <w:right w:val="nil"/>
            </w:tcBorders>
            <w:shd w:val="clear" w:color="auto" w:fill="auto"/>
            <w:noWrap/>
            <w:vAlign w:val="bottom"/>
            <w:hideMark/>
          </w:tcPr>
          <w:p w14:paraId="0CA85A32"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nil"/>
              <w:right w:val="single" w:sz="8" w:space="0" w:color="auto"/>
            </w:tcBorders>
            <w:shd w:val="clear" w:color="auto" w:fill="auto"/>
            <w:noWrap/>
            <w:vAlign w:val="bottom"/>
            <w:hideMark/>
          </w:tcPr>
          <w:p w14:paraId="3198F46D"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nil"/>
              <w:right w:val="single" w:sz="8" w:space="0" w:color="auto"/>
            </w:tcBorders>
            <w:shd w:val="clear" w:color="auto" w:fill="auto"/>
            <w:noWrap/>
            <w:vAlign w:val="bottom"/>
            <w:hideMark/>
          </w:tcPr>
          <w:p w14:paraId="53E5BF4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2022-2023</w:t>
            </w:r>
          </w:p>
        </w:tc>
        <w:tc>
          <w:tcPr>
            <w:tcW w:w="1180" w:type="dxa"/>
            <w:tcBorders>
              <w:top w:val="nil"/>
              <w:left w:val="nil"/>
              <w:bottom w:val="nil"/>
              <w:right w:val="single" w:sz="8" w:space="0" w:color="auto"/>
            </w:tcBorders>
            <w:shd w:val="clear" w:color="auto" w:fill="auto"/>
            <w:noWrap/>
            <w:vAlign w:val="bottom"/>
            <w:hideMark/>
          </w:tcPr>
          <w:p w14:paraId="2FE80426"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2023-2024</w:t>
            </w:r>
          </w:p>
        </w:tc>
        <w:tc>
          <w:tcPr>
            <w:tcW w:w="1180" w:type="dxa"/>
            <w:tcBorders>
              <w:top w:val="nil"/>
              <w:left w:val="nil"/>
              <w:bottom w:val="nil"/>
              <w:right w:val="single" w:sz="8" w:space="0" w:color="auto"/>
            </w:tcBorders>
            <w:shd w:val="clear" w:color="auto" w:fill="auto"/>
            <w:noWrap/>
            <w:vAlign w:val="bottom"/>
            <w:hideMark/>
          </w:tcPr>
          <w:p w14:paraId="72F3FB38"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041" w:type="dxa"/>
            <w:tcBorders>
              <w:top w:val="nil"/>
              <w:left w:val="nil"/>
              <w:bottom w:val="nil"/>
              <w:right w:val="single" w:sz="8" w:space="0" w:color="auto"/>
            </w:tcBorders>
            <w:shd w:val="clear" w:color="auto" w:fill="auto"/>
            <w:noWrap/>
            <w:vAlign w:val="bottom"/>
            <w:hideMark/>
          </w:tcPr>
          <w:p w14:paraId="14F9963F"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340598" w:rsidRPr="00340598" w14:paraId="19911702" w14:textId="77777777" w:rsidTr="001B15B2">
        <w:trPr>
          <w:trHeight w:val="288"/>
        </w:trPr>
        <w:tc>
          <w:tcPr>
            <w:tcW w:w="620" w:type="dxa"/>
            <w:tcBorders>
              <w:top w:val="nil"/>
              <w:left w:val="single" w:sz="8" w:space="0" w:color="auto"/>
              <w:bottom w:val="single" w:sz="8" w:space="0" w:color="auto"/>
              <w:right w:val="nil"/>
            </w:tcBorders>
            <w:shd w:val="clear" w:color="auto" w:fill="auto"/>
            <w:noWrap/>
            <w:vAlign w:val="bottom"/>
            <w:hideMark/>
          </w:tcPr>
          <w:p w14:paraId="631585BA"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single" w:sz="8" w:space="0" w:color="auto"/>
              <w:right w:val="single" w:sz="8" w:space="0" w:color="auto"/>
            </w:tcBorders>
            <w:shd w:val="clear" w:color="auto" w:fill="auto"/>
            <w:noWrap/>
            <w:vAlign w:val="bottom"/>
            <w:hideMark/>
          </w:tcPr>
          <w:p w14:paraId="4BB82E86"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14:paraId="73DDB17A"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80" w:type="dxa"/>
            <w:tcBorders>
              <w:top w:val="nil"/>
              <w:left w:val="nil"/>
              <w:bottom w:val="single" w:sz="8" w:space="0" w:color="auto"/>
              <w:right w:val="single" w:sz="8" w:space="0" w:color="auto"/>
            </w:tcBorders>
            <w:shd w:val="clear" w:color="auto" w:fill="auto"/>
            <w:noWrap/>
            <w:vAlign w:val="bottom"/>
            <w:hideMark/>
          </w:tcPr>
          <w:p w14:paraId="1AEE9D9E"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80" w:type="dxa"/>
            <w:tcBorders>
              <w:top w:val="nil"/>
              <w:left w:val="nil"/>
              <w:bottom w:val="single" w:sz="8" w:space="0" w:color="auto"/>
              <w:right w:val="single" w:sz="8" w:space="0" w:color="auto"/>
            </w:tcBorders>
            <w:shd w:val="clear" w:color="auto" w:fill="auto"/>
            <w:noWrap/>
            <w:vAlign w:val="bottom"/>
            <w:hideMark/>
          </w:tcPr>
          <w:p w14:paraId="4F217975"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041" w:type="dxa"/>
            <w:tcBorders>
              <w:top w:val="nil"/>
              <w:left w:val="nil"/>
              <w:bottom w:val="single" w:sz="8" w:space="0" w:color="auto"/>
              <w:right w:val="single" w:sz="8" w:space="0" w:color="auto"/>
            </w:tcBorders>
            <w:shd w:val="clear" w:color="auto" w:fill="auto"/>
            <w:noWrap/>
            <w:vAlign w:val="bottom"/>
            <w:hideMark/>
          </w:tcPr>
          <w:p w14:paraId="523D6D25"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 </w:t>
            </w:r>
          </w:p>
        </w:tc>
      </w:tr>
      <w:tr w:rsidR="00340598" w:rsidRPr="00340598" w14:paraId="2623014F" w14:textId="77777777" w:rsidTr="001B15B2">
        <w:trPr>
          <w:trHeight w:val="288"/>
        </w:trPr>
        <w:tc>
          <w:tcPr>
            <w:tcW w:w="620" w:type="dxa"/>
            <w:tcBorders>
              <w:top w:val="single" w:sz="4" w:space="0" w:color="FF0000"/>
              <w:left w:val="single" w:sz="8" w:space="0" w:color="auto"/>
              <w:bottom w:val="single" w:sz="4" w:space="0" w:color="FF0000"/>
              <w:right w:val="nil"/>
            </w:tcBorders>
            <w:shd w:val="clear" w:color="auto" w:fill="auto"/>
            <w:noWrap/>
            <w:vAlign w:val="bottom"/>
            <w:hideMark/>
          </w:tcPr>
          <w:p w14:paraId="6E2C7726"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3AE3DB53" w14:textId="77777777" w:rsidR="00340598" w:rsidRPr="00340598"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DESPESAS ADMINISTRATIVAS GERAIS </w:t>
            </w:r>
          </w:p>
        </w:tc>
        <w:tc>
          <w:tcPr>
            <w:tcW w:w="1480" w:type="dxa"/>
            <w:tcBorders>
              <w:top w:val="single" w:sz="4" w:space="0" w:color="FF0000"/>
              <w:left w:val="nil"/>
              <w:bottom w:val="single" w:sz="4" w:space="0" w:color="FF0000"/>
              <w:right w:val="single" w:sz="8" w:space="0" w:color="auto"/>
            </w:tcBorders>
            <w:shd w:val="clear" w:color="auto" w:fill="auto"/>
            <w:noWrap/>
            <w:vAlign w:val="bottom"/>
            <w:hideMark/>
          </w:tcPr>
          <w:p w14:paraId="5261D5FE" w14:textId="77777777" w:rsidR="00340598" w:rsidRPr="00340598"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2.705.558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0E5B5F1F" w14:textId="77777777" w:rsidR="00340598" w:rsidRPr="00340598"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3.897.615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625CE6AD" w14:textId="77777777" w:rsidR="00340598" w:rsidRPr="00340598"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1.192.057 </w:t>
            </w:r>
          </w:p>
        </w:tc>
        <w:tc>
          <w:tcPr>
            <w:tcW w:w="1041" w:type="dxa"/>
            <w:tcBorders>
              <w:top w:val="single" w:sz="4" w:space="0" w:color="FF0000"/>
              <w:left w:val="nil"/>
              <w:bottom w:val="single" w:sz="4" w:space="0" w:color="FF0000"/>
              <w:right w:val="single" w:sz="8" w:space="0" w:color="auto"/>
            </w:tcBorders>
            <w:shd w:val="clear" w:color="auto" w:fill="auto"/>
            <w:noWrap/>
            <w:vAlign w:val="bottom"/>
            <w:hideMark/>
          </w:tcPr>
          <w:p w14:paraId="210A6074" w14:textId="77777777" w:rsidR="00340598" w:rsidRPr="00340598"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44%</w:t>
            </w:r>
          </w:p>
        </w:tc>
      </w:tr>
      <w:tr w:rsidR="00340598" w:rsidRPr="00B61E56" w14:paraId="1F277560" w14:textId="77777777" w:rsidTr="001B15B2">
        <w:trPr>
          <w:trHeight w:val="288"/>
        </w:trPr>
        <w:tc>
          <w:tcPr>
            <w:tcW w:w="620" w:type="dxa"/>
            <w:tcBorders>
              <w:top w:val="single" w:sz="4" w:space="0" w:color="FF0000"/>
              <w:left w:val="single" w:sz="8" w:space="0" w:color="auto"/>
              <w:bottom w:val="single" w:sz="4" w:space="0" w:color="FF0000"/>
              <w:right w:val="nil"/>
            </w:tcBorders>
            <w:shd w:val="clear" w:color="auto" w:fill="auto"/>
            <w:noWrap/>
            <w:vAlign w:val="bottom"/>
            <w:hideMark/>
          </w:tcPr>
          <w:p w14:paraId="27F5EBE6" w14:textId="77777777" w:rsidR="00340598" w:rsidRPr="00340598"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lastRenderedPageBreak/>
              <w:t> </w:t>
            </w:r>
          </w:p>
        </w:tc>
        <w:tc>
          <w:tcPr>
            <w:tcW w:w="3980" w:type="dxa"/>
            <w:tcBorders>
              <w:top w:val="nil"/>
              <w:left w:val="single" w:sz="8" w:space="0" w:color="auto"/>
              <w:bottom w:val="single" w:sz="4" w:space="0" w:color="FF0000"/>
              <w:right w:val="single" w:sz="8" w:space="0" w:color="auto"/>
            </w:tcBorders>
            <w:shd w:val="clear" w:color="auto" w:fill="auto"/>
            <w:noWrap/>
            <w:vAlign w:val="bottom"/>
            <w:hideMark/>
          </w:tcPr>
          <w:p w14:paraId="206792E0"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EMOLUMENTOS DOS FUNCIONÁRIOS </w:t>
            </w:r>
          </w:p>
        </w:tc>
        <w:tc>
          <w:tcPr>
            <w:tcW w:w="1480" w:type="dxa"/>
            <w:tcBorders>
              <w:top w:val="single" w:sz="4" w:space="0" w:color="FF0000"/>
              <w:left w:val="nil"/>
              <w:bottom w:val="single" w:sz="4" w:space="0" w:color="FF0000"/>
              <w:right w:val="single" w:sz="8" w:space="0" w:color="auto"/>
            </w:tcBorders>
            <w:shd w:val="clear" w:color="auto" w:fill="auto"/>
            <w:noWrap/>
            <w:vAlign w:val="bottom"/>
            <w:hideMark/>
          </w:tcPr>
          <w:p w14:paraId="407A5751"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15.659.084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3074A441"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17.037.848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05CE25B0"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1.378.764 </w:t>
            </w:r>
          </w:p>
        </w:tc>
        <w:tc>
          <w:tcPr>
            <w:tcW w:w="1041" w:type="dxa"/>
            <w:tcBorders>
              <w:top w:val="single" w:sz="4" w:space="0" w:color="FF0000"/>
              <w:left w:val="nil"/>
              <w:bottom w:val="single" w:sz="4" w:space="0" w:color="FF0000"/>
              <w:right w:val="single" w:sz="8" w:space="0" w:color="auto"/>
            </w:tcBorders>
            <w:shd w:val="clear" w:color="auto" w:fill="auto"/>
            <w:noWrap/>
            <w:vAlign w:val="bottom"/>
            <w:hideMark/>
          </w:tcPr>
          <w:p w14:paraId="50887CC5"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9%</w:t>
            </w:r>
          </w:p>
        </w:tc>
      </w:tr>
      <w:tr w:rsidR="00340598" w:rsidRPr="00B61E56" w14:paraId="6D75EBB5" w14:textId="77777777" w:rsidTr="001B15B2">
        <w:trPr>
          <w:trHeight w:val="288"/>
        </w:trPr>
        <w:tc>
          <w:tcPr>
            <w:tcW w:w="620" w:type="dxa"/>
            <w:tcBorders>
              <w:top w:val="single" w:sz="4" w:space="0" w:color="FF0000"/>
              <w:left w:val="single" w:sz="8" w:space="0" w:color="auto"/>
              <w:bottom w:val="single" w:sz="4" w:space="0" w:color="FF0000"/>
              <w:right w:val="nil"/>
            </w:tcBorders>
            <w:shd w:val="clear" w:color="auto" w:fill="auto"/>
            <w:noWrap/>
            <w:vAlign w:val="bottom"/>
            <w:hideMark/>
          </w:tcPr>
          <w:p w14:paraId="47CE9541"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5B40ACFD"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DESPESAS OPERACIONAIS DIRECTAS </w:t>
            </w:r>
          </w:p>
        </w:tc>
        <w:tc>
          <w:tcPr>
            <w:tcW w:w="1480" w:type="dxa"/>
            <w:tcBorders>
              <w:top w:val="single" w:sz="4" w:space="0" w:color="FF0000"/>
              <w:left w:val="nil"/>
              <w:bottom w:val="single" w:sz="4" w:space="0" w:color="FF0000"/>
              <w:right w:val="single" w:sz="8" w:space="0" w:color="auto"/>
            </w:tcBorders>
            <w:shd w:val="clear" w:color="auto" w:fill="auto"/>
            <w:noWrap/>
            <w:vAlign w:val="bottom"/>
            <w:hideMark/>
          </w:tcPr>
          <w:p w14:paraId="5B393F99"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4.301.600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3E49BAAE"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w:t>
            </w:r>
            <w:bookmarkStart w:id="5" w:name="_Hlk118480954"/>
            <w:r>
              <w:rPr>
                <w:rFonts w:ascii="Arial Narrow" w:hAnsi="Arial Narrow"/>
                <w:b/>
                <w:sz w:val="20"/>
              </w:rPr>
              <w:t xml:space="preserve">6.460.200 </w:t>
            </w:r>
            <w:bookmarkEnd w:id="5"/>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2D8B86D8" w14:textId="77777777" w:rsidR="00340598" w:rsidRPr="00B61E56" w:rsidRDefault="00340598" w:rsidP="00EC59BC">
            <w:pPr>
              <w:spacing w:after="0" w:line="240" w:lineRule="auto"/>
              <w:jc w:val="right"/>
              <w:rPr>
                <w:rFonts w:ascii="Arial Narrow" w:eastAsia="Times New Roman" w:hAnsi="Arial Narrow" w:cs="Calibri"/>
                <w:b/>
                <w:bCs/>
                <w:sz w:val="20"/>
                <w:szCs w:val="20"/>
              </w:rPr>
            </w:pPr>
            <w:bookmarkStart w:id="6" w:name="_Hlk118481003"/>
            <w:r>
              <w:rPr>
                <w:rFonts w:ascii="Arial Narrow" w:hAnsi="Arial Narrow"/>
                <w:b/>
                <w:sz w:val="20"/>
              </w:rPr>
              <w:t xml:space="preserve">      2.158.600 </w:t>
            </w:r>
            <w:bookmarkEnd w:id="6"/>
          </w:p>
        </w:tc>
        <w:tc>
          <w:tcPr>
            <w:tcW w:w="1041" w:type="dxa"/>
            <w:tcBorders>
              <w:top w:val="single" w:sz="4" w:space="0" w:color="FF0000"/>
              <w:left w:val="nil"/>
              <w:bottom w:val="single" w:sz="4" w:space="0" w:color="FF0000"/>
              <w:right w:val="single" w:sz="8" w:space="0" w:color="auto"/>
            </w:tcBorders>
            <w:shd w:val="clear" w:color="auto" w:fill="auto"/>
            <w:noWrap/>
            <w:vAlign w:val="bottom"/>
            <w:hideMark/>
          </w:tcPr>
          <w:p w14:paraId="5CC0D9F1"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50%</w:t>
            </w:r>
          </w:p>
        </w:tc>
      </w:tr>
      <w:tr w:rsidR="00340598" w:rsidRPr="00B61E56" w14:paraId="74452777" w14:textId="77777777" w:rsidTr="001B15B2">
        <w:trPr>
          <w:trHeight w:val="288"/>
        </w:trPr>
        <w:tc>
          <w:tcPr>
            <w:tcW w:w="620" w:type="dxa"/>
            <w:tcBorders>
              <w:top w:val="nil"/>
              <w:left w:val="single" w:sz="8" w:space="0" w:color="auto"/>
              <w:bottom w:val="dashed" w:sz="4" w:space="0" w:color="auto"/>
              <w:right w:val="nil"/>
            </w:tcBorders>
            <w:shd w:val="clear" w:color="auto" w:fill="auto"/>
            <w:noWrap/>
            <w:vAlign w:val="bottom"/>
            <w:hideMark/>
          </w:tcPr>
          <w:p w14:paraId="5FE073F1"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40CCC1B0"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ACTIVIDADES DOS PROGRAMAS (financiadas por doadores) </w:t>
            </w:r>
          </w:p>
        </w:tc>
        <w:tc>
          <w:tcPr>
            <w:tcW w:w="1480" w:type="dxa"/>
            <w:tcBorders>
              <w:top w:val="single" w:sz="4" w:space="0" w:color="FF0000"/>
              <w:left w:val="nil"/>
              <w:bottom w:val="single" w:sz="4" w:space="0" w:color="FF0000"/>
              <w:right w:val="single" w:sz="8" w:space="0" w:color="auto"/>
            </w:tcBorders>
            <w:shd w:val="clear" w:color="auto" w:fill="auto"/>
            <w:noWrap/>
            <w:vAlign w:val="bottom"/>
            <w:hideMark/>
          </w:tcPr>
          <w:p w14:paraId="0A2F4E50"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25.881.788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53DC1094"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3C74DC7A"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25.881.788 </w:t>
            </w:r>
          </w:p>
        </w:tc>
        <w:tc>
          <w:tcPr>
            <w:tcW w:w="1041" w:type="dxa"/>
            <w:tcBorders>
              <w:top w:val="single" w:sz="4" w:space="0" w:color="FF0000"/>
              <w:left w:val="nil"/>
              <w:bottom w:val="single" w:sz="4" w:space="0" w:color="FF0000"/>
              <w:right w:val="single" w:sz="8" w:space="0" w:color="auto"/>
            </w:tcBorders>
            <w:shd w:val="clear" w:color="auto" w:fill="auto"/>
            <w:noWrap/>
            <w:vAlign w:val="bottom"/>
            <w:hideMark/>
          </w:tcPr>
          <w:p w14:paraId="6A3AFE92"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-100%</w:t>
            </w:r>
          </w:p>
        </w:tc>
      </w:tr>
      <w:tr w:rsidR="00340598" w:rsidRPr="00B61E56" w14:paraId="5F943B0E" w14:textId="77777777" w:rsidTr="001B15B2">
        <w:trPr>
          <w:trHeight w:val="300"/>
        </w:trPr>
        <w:tc>
          <w:tcPr>
            <w:tcW w:w="620" w:type="dxa"/>
            <w:tcBorders>
              <w:top w:val="nil"/>
              <w:left w:val="single" w:sz="8" w:space="0" w:color="auto"/>
              <w:bottom w:val="dashed" w:sz="4" w:space="0" w:color="auto"/>
              <w:right w:val="nil"/>
            </w:tcBorders>
            <w:shd w:val="clear" w:color="auto" w:fill="auto"/>
            <w:noWrap/>
            <w:vAlign w:val="bottom"/>
            <w:hideMark/>
          </w:tcPr>
          <w:p w14:paraId="1C07E6CF"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single" w:sz="8" w:space="0" w:color="auto"/>
              <w:bottom w:val="single" w:sz="4" w:space="0" w:color="FF0000"/>
              <w:right w:val="single" w:sz="8" w:space="0" w:color="auto"/>
            </w:tcBorders>
            <w:shd w:val="clear" w:color="auto" w:fill="auto"/>
            <w:noWrap/>
            <w:vAlign w:val="bottom"/>
            <w:hideMark/>
          </w:tcPr>
          <w:p w14:paraId="762E604C" w14:textId="3080A36B"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OUTRAS DESPESAS NÃO-RECORRENTES </w:t>
            </w:r>
          </w:p>
        </w:tc>
        <w:tc>
          <w:tcPr>
            <w:tcW w:w="1480" w:type="dxa"/>
            <w:tcBorders>
              <w:top w:val="single" w:sz="4" w:space="0" w:color="FF0000"/>
              <w:left w:val="nil"/>
              <w:bottom w:val="single" w:sz="4" w:space="0" w:color="FF0000"/>
              <w:right w:val="single" w:sz="8" w:space="0" w:color="auto"/>
            </w:tcBorders>
            <w:shd w:val="clear" w:color="auto" w:fill="auto"/>
            <w:noWrap/>
            <w:vAlign w:val="bottom"/>
            <w:hideMark/>
          </w:tcPr>
          <w:p w14:paraId="6C31404A"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1.593.648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387C3A50"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867.225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10D5EA67"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726.423 </w:t>
            </w:r>
          </w:p>
        </w:tc>
        <w:tc>
          <w:tcPr>
            <w:tcW w:w="1041" w:type="dxa"/>
            <w:tcBorders>
              <w:top w:val="single" w:sz="4" w:space="0" w:color="FF0000"/>
              <w:left w:val="nil"/>
              <w:bottom w:val="single" w:sz="4" w:space="0" w:color="FF0000"/>
              <w:right w:val="single" w:sz="8" w:space="0" w:color="auto"/>
            </w:tcBorders>
            <w:shd w:val="clear" w:color="auto" w:fill="auto"/>
            <w:noWrap/>
            <w:vAlign w:val="bottom"/>
            <w:hideMark/>
          </w:tcPr>
          <w:p w14:paraId="798E3500" w14:textId="77777777" w:rsidR="00340598" w:rsidRPr="00B61E56" w:rsidRDefault="00340598" w:rsidP="00EC59BC">
            <w:pPr>
              <w:spacing w:after="0" w:line="240" w:lineRule="auto"/>
              <w:jc w:val="right"/>
              <w:rPr>
                <w:rFonts w:ascii="Calibri" w:eastAsia="Times New Roman" w:hAnsi="Calibri" w:cs="Calibri"/>
                <w:b/>
                <w:bCs/>
                <w:sz w:val="20"/>
                <w:szCs w:val="20"/>
              </w:rPr>
            </w:pPr>
            <w:r>
              <w:rPr>
                <w:rFonts w:ascii="Calibri" w:hAnsi="Calibri"/>
                <w:b/>
                <w:sz w:val="20"/>
              </w:rPr>
              <w:t>-46%</w:t>
            </w:r>
          </w:p>
        </w:tc>
      </w:tr>
      <w:tr w:rsidR="00340598" w:rsidRPr="00B61E56" w14:paraId="4F47EF21" w14:textId="77777777" w:rsidTr="001B15B2">
        <w:trPr>
          <w:trHeight w:val="300"/>
        </w:trPr>
        <w:tc>
          <w:tcPr>
            <w:tcW w:w="6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54AA843E"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single" w:sz="8" w:space="0" w:color="auto"/>
              <w:left w:val="nil"/>
              <w:bottom w:val="single" w:sz="8" w:space="0" w:color="auto"/>
              <w:right w:val="single" w:sz="8" w:space="0" w:color="auto"/>
            </w:tcBorders>
            <w:shd w:val="clear" w:color="000000" w:fill="BFBFBF"/>
            <w:noWrap/>
            <w:vAlign w:val="bottom"/>
            <w:hideMark/>
          </w:tcPr>
          <w:p w14:paraId="2CA0178A"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DESPESAS TOTAIS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14:paraId="14B3DAE2"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50.141.678 </w:t>
            </w:r>
          </w:p>
        </w:tc>
        <w:tc>
          <w:tcPr>
            <w:tcW w:w="1180" w:type="dxa"/>
            <w:tcBorders>
              <w:top w:val="single" w:sz="8" w:space="0" w:color="auto"/>
              <w:left w:val="nil"/>
              <w:bottom w:val="single" w:sz="8" w:space="0" w:color="auto"/>
              <w:right w:val="single" w:sz="8" w:space="0" w:color="auto"/>
            </w:tcBorders>
            <w:shd w:val="clear" w:color="000000" w:fill="BFBFBF"/>
            <w:noWrap/>
            <w:vAlign w:val="bottom"/>
            <w:hideMark/>
          </w:tcPr>
          <w:p w14:paraId="52E0CA18"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28.262.888 </w:t>
            </w:r>
          </w:p>
        </w:tc>
        <w:tc>
          <w:tcPr>
            <w:tcW w:w="1180" w:type="dxa"/>
            <w:tcBorders>
              <w:top w:val="single" w:sz="8" w:space="0" w:color="auto"/>
              <w:left w:val="nil"/>
              <w:bottom w:val="single" w:sz="8" w:space="0" w:color="auto"/>
              <w:right w:val="single" w:sz="8" w:space="0" w:color="auto"/>
            </w:tcBorders>
            <w:shd w:val="clear" w:color="000000" w:fill="BFBFBF"/>
            <w:noWrap/>
            <w:vAlign w:val="bottom"/>
            <w:hideMark/>
          </w:tcPr>
          <w:p w14:paraId="14B5EB30"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21.878.790 </w:t>
            </w:r>
          </w:p>
        </w:tc>
        <w:tc>
          <w:tcPr>
            <w:tcW w:w="1041" w:type="dxa"/>
            <w:tcBorders>
              <w:top w:val="single" w:sz="8" w:space="0" w:color="auto"/>
              <w:left w:val="nil"/>
              <w:bottom w:val="single" w:sz="8" w:space="0" w:color="auto"/>
              <w:right w:val="single" w:sz="8" w:space="0" w:color="auto"/>
            </w:tcBorders>
            <w:shd w:val="clear" w:color="000000" w:fill="BFBFBF"/>
            <w:noWrap/>
            <w:vAlign w:val="bottom"/>
            <w:hideMark/>
          </w:tcPr>
          <w:p w14:paraId="220C5C91"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-44%</w:t>
            </w:r>
          </w:p>
        </w:tc>
      </w:tr>
      <w:tr w:rsidR="00340598" w:rsidRPr="00B61E56" w14:paraId="72CC5513" w14:textId="77777777" w:rsidTr="001B15B2">
        <w:trPr>
          <w:trHeight w:val="300"/>
        </w:trPr>
        <w:tc>
          <w:tcPr>
            <w:tcW w:w="620" w:type="dxa"/>
            <w:tcBorders>
              <w:top w:val="nil"/>
              <w:left w:val="single" w:sz="8" w:space="0" w:color="auto"/>
              <w:bottom w:val="single" w:sz="8" w:space="0" w:color="auto"/>
              <w:right w:val="single" w:sz="8" w:space="0" w:color="auto"/>
            </w:tcBorders>
            <w:shd w:val="clear" w:color="auto" w:fill="auto"/>
            <w:noWrap/>
            <w:vAlign w:val="bottom"/>
            <w:hideMark/>
          </w:tcPr>
          <w:p w14:paraId="15ADB7A2" w14:textId="77777777" w:rsidR="00340598" w:rsidRPr="00B61E56" w:rsidRDefault="00340598" w:rsidP="001B15B2">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3980" w:type="dxa"/>
            <w:tcBorders>
              <w:top w:val="nil"/>
              <w:left w:val="nil"/>
              <w:bottom w:val="single" w:sz="8" w:space="0" w:color="auto"/>
              <w:right w:val="single" w:sz="8" w:space="0" w:color="auto"/>
            </w:tcBorders>
            <w:shd w:val="clear" w:color="auto" w:fill="auto"/>
            <w:noWrap/>
            <w:vAlign w:val="bottom"/>
            <w:hideMark/>
          </w:tcPr>
          <w:p w14:paraId="446A71E1" w14:textId="77777777" w:rsidR="00340598" w:rsidRPr="00B61E56" w:rsidRDefault="00340598" w:rsidP="001B15B2">
            <w:pPr>
              <w:spacing w:after="0" w:line="240" w:lineRule="auto"/>
              <w:rPr>
                <w:rFonts w:ascii="Arial Narrow" w:eastAsia="Times New Roman" w:hAnsi="Arial Narrow" w:cs="Calibri"/>
                <w:b/>
                <w:bCs/>
                <w:sz w:val="20"/>
                <w:szCs w:val="20"/>
              </w:rPr>
            </w:pPr>
            <w:r>
              <w:rPr>
                <w:rFonts w:ascii="Arial Narrow" w:hAnsi="Arial Narrow"/>
                <w:b/>
                <w:sz w:val="20"/>
              </w:rPr>
              <w:t xml:space="preserve"> EXCEDENTE/DÉFICE </w:t>
            </w:r>
          </w:p>
        </w:tc>
        <w:tc>
          <w:tcPr>
            <w:tcW w:w="1480" w:type="dxa"/>
            <w:tcBorders>
              <w:top w:val="nil"/>
              <w:left w:val="nil"/>
              <w:bottom w:val="single" w:sz="8" w:space="0" w:color="auto"/>
              <w:right w:val="single" w:sz="8" w:space="0" w:color="auto"/>
            </w:tcBorders>
            <w:shd w:val="clear" w:color="auto" w:fill="auto"/>
            <w:noWrap/>
            <w:vAlign w:val="bottom"/>
            <w:hideMark/>
          </w:tcPr>
          <w:p w14:paraId="429FAF23"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1.281.264 </w:t>
            </w:r>
          </w:p>
        </w:tc>
        <w:tc>
          <w:tcPr>
            <w:tcW w:w="1180" w:type="dxa"/>
            <w:tcBorders>
              <w:top w:val="nil"/>
              <w:left w:val="nil"/>
              <w:bottom w:val="single" w:sz="8" w:space="0" w:color="auto"/>
              <w:right w:val="single" w:sz="8" w:space="0" w:color="auto"/>
            </w:tcBorders>
            <w:shd w:val="clear" w:color="auto" w:fill="auto"/>
            <w:noWrap/>
            <w:vAlign w:val="bottom"/>
            <w:hideMark/>
          </w:tcPr>
          <w:p w14:paraId="030EA8DC"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125.162 </w:t>
            </w:r>
          </w:p>
        </w:tc>
        <w:tc>
          <w:tcPr>
            <w:tcW w:w="1180" w:type="dxa"/>
            <w:tcBorders>
              <w:top w:val="nil"/>
              <w:left w:val="nil"/>
              <w:bottom w:val="single" w:sz="8" w:space="0" w:color="auto"/>
              <w:right w:val="single" w:sz="8" w:space="0" w:color="auto"/>
            </w:tcBorders>
            <w:shd w:val="clear" w:color="auto" w:fill="auto"/>
            <w:noWrap/>
            <w:vAlign w:val="bottom"/>
            <w:hideMark/>
          </w:tcPr>
          <w:p w14:paraId="6470BCE9"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 xml:space="preserve">— 1.156.102 </w:t>
            </w:r>
          </w:p>
        </w:tc>
        <w:tc>
          <w:tcPr>
            <w:tcW w:w="1041" w:type="dxa"/>
            <w:tcBorders>
              <w:top w:val="nil"/>
              <w:left w:val="nil"/>
              <w:bottom w:val="single" w:sz="8" w:space="0" w:color="auto"/>
              <w:right w:val="single" w:sz="8" w:space="0" w:color="auto"/>
            </w:tcBorders>
            <w:shd w:val="clear" w:color="auto" w:fill="auto"/>
            <w:noWrap/>
            <w:vAlign w:val="bottom"/>
            <w:hideMark/>
          </w:tcPr>
          <w:p w14:paraId="540C314E" w14:textId="77777777" w:rsidR="00340598" w:rsidRPr="00B61E56" w:rsidRDefault="00340598" w:rsidP="00EC59BC">
            <w:pPr>
              <w:spacing w:after="0" w:line="240" w:lineRule="auto"/>
              <w:jc w:val="right"/>
              <w:rPr>
                <w:rFonts w:ascii="Arial Narrow" w:eastAsia="Times New Roman" w:hAnsi="Arial Narrow" w:cs="Calibri"/>
                <w:b/>
                <w:bCs/>
                <w:sz w:val="20"/>
                <w:szCs w:val="20"/>
              </w:rPr>
            </w:pPr>
            <w:r>
              <w:rPr>
                <w:rFonts w:ascii="Arial Narrow" w:hAnsi="Arial Narrow"/>
                <w:b/>
                <w:sz w:val="20"/>
              </w:rPr>
              <w:t>-90%</w:t>
            </w:r>
          </w:p>
        </w:tc>
      </w:tr>
    </w:tbl>
    <w:p w14:paraId="552F607F" w14:textId="5A6D3EBC" w:rsidR="00A8079A" w:rsidRPr="00B61E56" w:rsidRDefault="00A8079A" w:rsidP="002003BF">
      <w:pPr>
        <w:pStyle w:val="ListParagraph"/>
        <w:spacing w:after="0" w:line="240" w:lineRule="auto"/>
        <w:ind w:left="709" w:hanging="709"/>
        <w:jc w:val="both"/>
        <w:rPr>
          <w:rFonts w:ascii="Bookman Old Style" w:hAnsi="Bookman Old Style"/>
          <w:b/>
          <w:sz w:val="24"/>
          <w:szCs w:val="24"/>
        </w:rPr>
      </w:pPr>
    </w:p>
    <w:p w14:paraId="4DF713EA" w14:textId="77777777" w:rsidR="00A8079A" w:rsidRPr="00B61E56" w:rsidRDefault="00A8079A" w:rsidP="002003BF">
      <w:pPr>
        <w:pStyle w:val="ListParagraph"/>
        <w:spacing w:after="0" w:line="240" w:lineRule="auto"/>
        <w:ind w:left="709" w:hanging="709"/>
        <w:jc w:val="both"/>
        <w:rPr>
          <w:rFonts w:ascii="Bookman Old Style" w:hAnsi="Bookman Old Style"/>
          <w:b/>
          <w:sz w:val="24"/>
          <w:szCs w:val="24"/>
        </w:rPr>
      </w:pPr>
    </w:p>
    <w:p w14:paraId="3355F3A9" w14:textId="1027967C" w:rsidR="00C64A7A" w:rsidRPr="00B61E56" w:rsidRDefault="00062689" w:rsidP="00E111F6">
      <w:pPr>
        <w:pStyle w:val="ListParagraph"/>
        <w:numPr>
          <w:ilvl w:val="1"/>
          <w:numId w:val="33"/>
        </w:numPr>
        <w:spacing w:after="0" w:line="240" w:lineRule="auto"/>
        <w:rPr>
          <w:rFonts w:ascii="Bookman Old Style" w:hAnsi="Bookman Old Style"/>
          <w:b/>
          <w:bCs/>
          <w:sz w:val="24"/>
          <w:szCs w:val="24"/>
        </w:rPr>
      </w:pPr>
      <w:r>
        <w:rPr>
          <w:rFonts w:ascii="Bookman Old Style" w:hAnsi="Bookman Old Style"/>
          <w:b/>
          <w:sz w:val="24"/>
        </w:rPr>
        <w:t xml:space="preserve">Despesas totais orçamentadas: </w:t>
      </w:r>
      <w:bookmarkStart w:id="7" w:name="_Hlk117688545"/>
      <w:r>
        <w:rPr>
          <w:rFonts w:ascii="Bookman Old Style" w:hAnsi="Bookman Old Style"/>
          <w:b/>
          <w:sz w:val="24"/>
        </w:rPr>
        <w:t>N$</w:t>
      </w:r>
      <w:bookmarkEnd w:id="7"/>
      <w:r>
        <w:rPr>
          <w:rFonts w:ascii="Bookman Old Style" w:hAnsi="Bookman Old Style"/>
          <w:b/>
          <w:sz w:val="24"/>
        </w:rPr>
        <w:t>28.262.888</w:t>
      </w:r>
    </w:p>
    <w:p w14:paraId="25BCB36B" w14:textId="18343B93" w:rsidR="00062689" w:rsidRPr="00B61E56" w:rsidRDefault="00062689" w:rsidP="00A47660">
      <w:pPr>
        <w:pStyle w:val="ListParagraph"/>
        <w:spacing w:after="0" w:line="240" w:lineRule="auto"/>
        <w:ind w:left="709"/>
        <w:jc w:val="both"/>
        <w:rPr>
          <w:rFonts w:ascii="Bookman Old Style" w:hAnsi="Bookman Old Style"/>
          <w:b/>
          <w:bCs/>
          <w:sz w:val="24"/>
          <w:szCs w:val="24"/>
        </w:rPr>
      </w:pPr>
    </w:p>
    <w:p w14:paraId="736821B2" w14:textId="53BE328C" w:rsidR="00BD5941" w:rsidRPr="00EC59BC" w:rsidRDefault="00E111F6" w:rsidP="00EC59BC">
      <w:pPr>
        <w:pStyle w:val="ListParagraph"/>
        <w:numPr>
          <w:ilvl w:val="2"/>
          <w:numId w:val="33"/>
        </w:numPr>
        <w:spacing w:after="0" w:line="240" w:lineRule="auto"/>
        <w:jc w:val="both"/>
        <w:rPr>
          <w:rFonts w:ascii="Bookman Old Style" w:hAnsi="Bookman Old Style"/>
          <w:sz w:val="24"/>
        </w:rPr>
      </w:pPr>
      <w:r w:rsidRPr="00EC59BC">
        <w:rPr>
          <w:rFonts w:ascii="Bookman Old Style" w:hAnsi="Bookman Old Style"/>
          <w:sz w:val="24"/>
        </w:rPr>
        <w:t>As despesas orçamentadas totais são de N$28.262.888 em comparação com as despesas totais imputáveis às contribuições obrigatórias e outras receitas de N$ 24.259.890 em 2022/2023 (uma quantia de N$25.881.788 dum total de N$50.141.678 para 2022/2023 era para os fundos concedidos por doadores. Salienta-se que as despesas orçamentadas para o exercício de 2023/2024 não incluem despesas financiadas por doadores, à semelhança do orçamento de 2022/2023. As despesas orçamentadas nos fundos do FP-SADC, portanto, aumentaram em N$4,0 milhões (16,5%)</w:t>
      </w:r>
      <w:r w:rsidR="00BA58B2" w:rsidRPr="00EC59BC">
        <w:rPr>
          <w:rFonts w:ascii="Bookman Old Style" w:hAnsi="Bookman Old Style"/>
          <w:sz w:val="24"/>
        </w:rPr>
        <w:t>.</w:t>
      </w:r>
    </w:p>
    <w:p w14:paraId="1672F8C4" w14:textId="77777777" w:rsidR="00EC59BC" w:rsidRPr="00EC59BC" w:rsidRDefault="00EC59BC" w:rsidP="00EC59BC">
      <w:pPr>
        <w:pStyle w:val="ListParagraph"/>
        <w:spacing w:after="0" w:line="240" w:lineRule="auto"/>
        <w:jc w:val="both"/>
        <w:rPr>
          <w:rFonts w:ascii="Bookman Old Style" w:hAnsi="Bookman Old Style"/>
          <w:sz w:val="24"/>
          <w:szCs w:val="24"/>
        </w:rPr>
      </w:pPr>
    </w:p>
    <w:p w14:paraId="559A0E12" w14:textId="300089AF" w:rsidR="00062689" w:rsidRPr="00BD5941" w:rsidRDefault="00E111F6" w:rsidP="00BD5941">
      <w:pPr>
        <w:spacing w:after="0" w:line="240" w:lineRule="auto"/>
        <w:ind w:left="709" w:hanging="709"/>
        <w:jc w:val="both"/>
        <w:rPr>
          <w:rFonts w:ascii="Bookman Old Style" w:hAnsi="Bookman Old Style"/>
          <w:sz w:val="24"/>
          <w:szCs w:val="24"/>
        </w:rPr>
      </w:pPr>
      <w:r>
        <w:rPr>
          <w:rFonts w:ascii="Bookman Old Style" w:hAnsi="Bookman Old Style"/>
          <w:sz w:val="24"/>
        </w:rPr>
        <w:t>5.2.2.</w:t>
      </w:r>
      <w:r>
        <w:rPr>
          <w:rFonts w:ascii="Bookman Old Style" w:hAnsi="Bookman Old Style"/>
          <w:sz w:val="24"/>
        </w:rPr>
        <w:tab/>
        <w:t xml:space="preserve">O excedente das receitas orçamentadas sobre as despesas é insignificante, no valor de N$125.162, depois da provisão de uma contingência de N$60.000. </w:t>
      </w:r>
    </w:p>
    <w:p w14:paraId="4E8BD569" w14:textId="77777777" w:rsidR="00062689" w:rsidRPr="008040EC" w:rsidRDefault="00062689" w:rsidP="00692D5F">
      <w:pPr>
        <w:pStyle w:val="ListParagraph"/>
        <w:spacing w:after="0" w:line="240" w:lineRule="auto"/>
        <w:ind w:left="709" w:hanging="709"/>
        <w:jc w:val="both"/>
        <w:rPr>
          <w:rFonts w:ascii="Bookman Old Style" w:hAnsi="Bookman Old Style"/>
          <w:b/>
          <w:sz w:val="24"/>
          <w:szCs w:val="24"/>
        </w:rPr>
      </w:pPr>
    </w:p>
    <w:p w14:paraId="1657E4A9" w14:textId="169A50AE" w:rsidR="00630B4A" w:rsidRPr="00EC59BC" w:rsidRDefault="00630B4A" w:rsidP="00E111F6">
      <w:pPr>
        <w:pStyle w:val="ListParagraph"/>
        <w:numPr>
          <w:ilvl w:val="1"/>
          <w:numId w:val="33"/>
        </w:numPr>
        <w:spacing w:after="0" w:line="240" w:lineRule="auto"/>
        <w:rPr>
          <w:rFonts w:ascii="Bookman Old Style" w:hAnsi="Bookman Old Style"/>
          <w:b/>
          <w:bCs/>
          <w:sz w:val="24"/>
          <w:szCs w:val="24"/>
        </w:rPr>
      </w:pPr>
      <w:r>
        <w:rPr>
          <w:rFonts w:ascii="Bookman Old Style" w:hAnsi="Bookman Old Style"/>
          <w:b/>
          <w:sz w:val="24"/>
        </w:rPr>
        <w:t>Emolumentos dos funcionários: N$ 17.037.848.</w:t>
      </w:r>
    </w:p>
    <w:p w14:paraId="2EA64FD8" w14:textId="77777777" w:rsidR="00EC59BC" w:rsidRPr="00E111F6" w:rsidRDefault="00EC59BC" w:rsidP="00EC59BC">
      <w:pPr>
        <w:pStyle w:val="ListParagraph"/>
        <w:spacing w:after="0" w:line="240" w:lineRule="auto"/>
        <w:rPr>
          <w:rFonts w:ascii="Bookman Old Style" w:hAnsi="Bookman Old Style"/>
          <w:b/>
          <w:bCs/>
          <w:sz w:val="24"/>
          <w:szCs w:val="24"/>
        </w:rPr>
      </w:pPr>
    </w:p>
    <w:p w14:paraId="45807A0D" w14:textId="25625A74" w:rsidR="002D70AD" w:rsidRPr="008040EC" w:rsidRDefault="00630B4A"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A proposta do valor total orçamentado para os Emolumentos dos Funcionários equivale a N$17.037.848, representando um aumento de N$1.378.764 (9%) em comparação com a dotação do exercício financeiro de 2022/2023 que se situou em N$15.659.084. Este é o resultado do ajuste anual da estrutura salarial, de acordo com o CPI e o incremento de faixas salariais (recomendações dos exercícios de avaliação de funções e revisão salarial aprovados pela Comissão Executiva na sua reunião de 12 e 13 de Novembro de 2021). Foi inclusa nesta quantia uma provisão de N$80.000 por ano de contribuição para o Regime de Benefícios por Morte de Funcionários junto d</w:t>
      </w:r>
      <w:r w:rsidR="00BA58B2">
        <w:rPr>
          <w:rFonts w:ascii="Bookman Old Style" w:hAnsi="Bookman Old Style"/>
          <w:sz w:val="24"/>
        </w:rPr>
        <w:t>a</w:t>
      </w:r>
      <w:r>
        <w:rPr>
          <w:rFonts w:ascii="Bookman Old Style" w:hAnsi="Bookman Old Style"/>
          <w:sz w:val="24"/>
        </w:rPr>
        <w:t xml:space="preserve"> Old Mutual duas vezes o salário anual. </w:t>
      </w:r>
    </w:p>
    <w:p w14:paraId="38C24D43" w14:textId="77777777" w:rsidR="002003BF" w:rsidRPr="008040EC" w:rsidRDefault="002003BF" w:rsidP="002003BF">
      <w:pPr>
        <w:pStyle w:val="ListParagraph"/>
        <w:spacing w:after="0" w:line="240" w:lineRule="auto"/>
        <w:ind w:left="709"/>
        <w:jc w:val="both"/>
        <w:rPr>
          <w:rFonts w:ascii="Bookman Old Style" w:hAnsi="Bookman Old Style"/>
          <w:sz w:val="24"/>
          <w:szCs w:val="24"/>
        </w:rPr>
      </w:pPr>
    </w:p>
    <w:p w14:paraId="1FD4B92A" w14:textId="318AF093" w:rsidR="0052511D" w:rsidRDefault="0052511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Importa registar o seguinte:</w:t>
      </w:r>
    </w:p>
    <w:p w14:paraId="2AB9885D" w14:textId="77777777" w:rsidR="0052511D" w:rsidRPr="0052511D" w:rsidRDefault="0052511D" w:rsidP="0052511D">
      <w:pPr>
        <w:pStyle w:val="ListParagraph"/>
        <w:rPr>
          <w:rFonts w:ascii="Bookman Old Style" w:hAnsi="Bookman Old Style"/>
          <w:sz w:val="24"/>
          <w:szCs w:val="24"/>
        </w:rPr>
      </w:pPr>
    </w:p>
    <w:p w14:paraId="3A3BFF2F" w14:textId="1012A001" w:rsidR="0052511D" w:rsidRPr="00EC59BC" w:rsidRDefault="0052511D" w:rsidP="00EC59BC">
      <w:pPr>
        <w:pStyle w:val="ListParagraph"/>
        <w:numPr>
          <w:ilvl w:val="0"/>
          <w:numId w:val="21"/>
        </w:numPr>
        <w:spacing w:after="0" w:line="240" w:lineRule="auto"/>
        <w:ind w:left="1134" w:hanging="425"/>
        <w:jc w:val="both"/>
        <w:rPr>
          <w:rFonts w:ascii="Bookman Old Style" w:hAnsi="Bookman Old Style"/>
          <w:sz w:val="24"/>
          <w:szCs w:val="24"/>
        </w:rPr>
      </w:pPr>
      <w:r>
        <w:rPr>
          <w:rFonts w:ascii="Bookman Old Style" w:hAnsi="Bookman Old Style"/>
          <w:sz w:val="24"/>
        </w:rPr>
        <w:t xml:space="preserve">Para o exercício financeiro 2023/2024, segundo uma pré-condição do Acordo com a ASDI, o Fórum comprometeu-se a assumir a partir daqui os salários dos dois postos, nomeadamente o da Directora de </w:t>
      </w:r>
      <w:r w:rsidRPr="00BA58B2">
        <w:rPr>
          <w:rFonts w:ascii="Bookman Old Style" w:hAnsi="Bookman Old Style"/>
          <w:i/>
          <w:iCs/>
          <w:sz w:val="24"/>
        </w:rPr>
        <w:t>Corporate Governance</w:t>
      </w:r>
      <w:r>
        <w:rPr>
          <w:rFonts w:ascii="Bookman Old Style" w:hAnsi="Bookman Old Style"/>
          <w:sz w:val="24"/>
        </w:rPr>
        <w:t xml:space="preserve"> e o do Secretário de Comissão &amp; Gestor de Programa, no valor de N$ 3,1 milhões por ano. Estas quantias serão </w:t>
      </w:r>
      <w:r>
        <w:rPr>
          <w:rFonts w:ascii="Bookman Old Style" w:hAnsi="Bookman Old Style"/>
          <w:sz w:val="24"/>
        </w:rPr>
        <w:lastRenderedPageBreak/>
        <w:t xml:space="preserve">previstas no principal orçamento do FP-SADC. </w:t>
      </w:r>
      <w:bookmarkStart w:id="8" w:name="_Hlk117755837"/>
      <w:r>
        <w:rPr>
          <w:rFonts w:ascii="Bookman Old Style" w:hAnsi="Bookman Old Style"/>
          <w:sz w:val="24"/>
        </w:rPr>
        <w:t xml:space="preserve">Felizmente, os postos foram também previstos no orçamento do exercício de 2022/2023 devido à incerteza do financiamento externo na altura da elaboração do orçamento, o que significa que o aumento líquido da factura salarial do exercício financeiro de 2023/2024 é de apenas N$1,4 milhões. </w:t>
      </w:r>
    </w:p>
    <w:p w14:paraId="0E759966" w14:textId="77777777" w:rsidR="00EC59BC" w:rsidRDefault="00EC59BC" w:rsidP="00EC59BC">
      <w:pPr>
        <w:pStyle w:val="ListParagraph"/>
        <w:spacing w:after="0" w:line="240" w:lineRule="auto"/>
        <w:ind w:left="1134"/>
        <w:jc w:val="both"/>
        <w:rPr>
          <w:rFonts w:ascii="Bookman Old Style" w:hAnsi="Bookman Old Style"/>
          <w:sz w:val="24"/>
          <w:szCs w:val="24"/>
        </w:rPr>
      </w:pPr>
    </w:p>
    <w:bookmarkEnd w:id="8"/>
    <w:p w14:paraId="7B6BFFA7" w14:textId="7C5D8067" w:rsidR="009A2793" w:rsidRPr="00EC59BC" w:rsidRDefault="009A2793" w:rsidP="00EC59BC">
      <w:pPr>
        <w:pStyle w:val="ListParagraph"/>
        <w:numPr>
          <w:ilvl w:val="0"/>
          <w:numId w:val="21"/>
        </w:numPr>
        <w:spacing w:after="0" w:line="240" w:lineRule="auto"/>
        <w:ind w:left="1134" w:hanging="425"/>
        <w:jc w:val="both"/>
        <w:rPr>
          <w:rFonts w:ascii="Bookman Old Style" w:hAnsi="Bookman Old Style"/>
          <w:sz w:val="24"/>
          <w:szCs w:val="24"/>
        </w:rPr>
      </w:pPr>
      <w:r>
        <w:rPr>
          <w:rFonts w:ascii="Bookman Old Style" w:hAnsi="Bookman Old Style"/>
          <w:sz w:val="24"/>
        </w:rPr>
        <w:t>O aumento líquido de N$1,4 milhões também leva em consideração a adição de um secretário da comissão &amp; gestor do Programa de Comércio (TIFI), enquanto a provisão para os destacamentos foi retirad</w:t>
      </w:r>
      <w:r w:rsidR="00BA58B2">
        <w:rPr>
          <w:rFonts w:ascii="Bookman Old Style" w:hAnsi="Bookman Old Style"/>
          <w:sz w:val="24"/>
        </w:rPr>
        <w:t>a</w:t>
      </w:r>
      <w:r>
        <w:rPr>
          <w:rFonts w:ascii="Bookman Old Style" w:hAnsi="Bookman Old Style"/>
          <w:sz w:val="24"/>
        </w:rPr>
        <w:t xml:space="preserve">. A provisão para os destacamentos passa a ser alocada ao posto do referido secretário &amp; gestor. A escolha da Comissão de TIFI é uma necessidade </w:t>
      </w:r>
      <w:r w:rsidR="00BA58B2">
        <w:rPr>
          <w:rFonts w:ascii="Bookman Old Style" w:hAnsi="Bookman Old Style"/>
          <w:sz w:val="24"/>
        </w:rPr>
        <w:t xml:space="preserve">que </w:t>
      </w:r>
      <w:r>
        <w:rPr>
          <w:rFonts w:ascii="Bookman Old Style" w:hAnsi="Bookman Old Style"/>
          <w:sz w:val="24"/>
        </w:rPr>
        <w:t>te</w:t>
      </w:r>
      <w:r w:rsidR="00BA58B2">
        <w:rPr>
          <w:rFonts w:ascii="Bookman Old Style" w:hAnsi="Bookman Old Style"/>
          <w:sz w:val="24"/>
        </w:rPr>
        <w:t xml:space="preserve">m </w:t>
      </w:r>
      <w:r>
        <w:rPr>
          <w:rFonts w:ascii="Bookman Old Style" w:hAnsi="Bookman Old Style"/>
          <w:sz w:val="24"/>
        </w:rPr>
        <w:t>em conta as prioridades estabelecidas pela Cimeira da SADC na agenda de integração regional.</w:t>
      </w:r>
    </w:p>
    <w:p w14:paraId="08A2AF94" w14:textId="77777777" w:rsidR="00EC59BC" w:rsidRPr="00EC59BC" w:rsidRDefault="00EC59BC" w:rsidP="00EC59BC">
      <w:pPr>
        <w:spacing w:after="0" w:line="240" w:lineRule="auto"/>
        <w:jc w:val="both"/>
        <w:rPr>
          <w:rFonts w:ascii="Bookman Old Style" w:hAnsi="Bookman Old Style"/>
          <w:sz w:val="24"/>
          <w:szCs w:val="24"/>
        </w:rPr>
      </w:pPr>
    </w:p>
    <w:p w14:paraId="4D55F98D" w14:textId="02367331" w:rsidR="00AD62DE" w:rsidRPr="00EC59BC" w:rsidRDefault="00F9083F" w:rsidP="00EC59BC">
      <w:pPr>
        <w:pStyle w:val="ListParagraph"/>
        <w:numPr>
          <w:ilvl w:val="0"/>
          <w:numId w:val="21"/>
        </w:numPr>
        <w:spacing w:after="0" w:line="240" w:lineRule="auto"/>
        <w:ind w:left="1134" w:hanging="425"/>
        <w:jc w:val="both"/>
        <w:rPr>
          <w:rFonts w:ascii="Bookman Old Style" w:hAnsi="Bookman Old Style"/>
          <w:sz w:val="24"/>
          <w:szCs w:val="24"/>
        </w:rPr>
      </w:pPr>
      <w:r>
        <w:rPr>
          <w:rFonts w:ascii="Bookman Old Style" w:hAnsi="Bookman Old Style"/>
          <w:sz w:val="24"/>
        </w:rPr>
        <w:t xml:space="preserve">Inclusa também na factura salarial é uma provisão para a terceirização das funções de perito dos recursos humanos, perito da comunicação social e 2 estagiários de informática ao custo de N$18.000 por mês (no caso dos estagiários de informática, a taxa sendo de N$9.000 para cada um dos 2 estagiários). Leva-se ao conhecimento da </w:t>
      </w:r>
      <w:r w:rsidR="00670996" w:rsidRPr="00EC59BC">
        <w:rPr>
          <w:rFonts w:ascii="Bookman Old Style" w:hAnsi="Bookman Old Style"/>
          <w:color w:val="282828"/>
          <w:sz w:val="24"/>
          <w:shd w:val="clear" w:color="auto" w:fill="FFFFFF"/>
        </w:rPr>
        <w:t>Assembleia Plenária</w:t>
      </w:r>
      <w:r>
        <w:rPr>
          <w:rFonts w:ascii="Bookman Old Style" w:hAnsi="Bookman Old Style"/>
          <w:sz w:val="24"/>
        </w:rPr>
        <w:t xml:space="preserve"> que estes postos foram anteriormente financiados a partir dos fundos da ASDI (Sida).</w:t>
      </w:r>
    </w:p>
    <w:p w14:paraId="7D2C1C81" w14:textId="77777777" w:rsidR="00EC59BC" w:rsidRPr="00EC59BC" w:rsidRDefault="00EC59BC" w:rsidP="00EC59BC">
      <w:pPr>
        <w:pStyle w:val="ListParagraph"/>
        <w:rPr>
          <w:rFonts w:ascii="Bookman Old Style" w:hAnsi="Bookman Old Style"/>
          <w:sz w:val="24"/>
          <w:szCs w:val="24"/>
        </w:rPr>
      </w:pPr>
    </w:p>
    <w:p w14:paraId="084D3457" w14:textId="2E70FE66" w:rsidR="00AD62DE" w:rsidRPr="00AD62DE" w:rsidRDefault="00AD62DE" w:rsidP="00EC59BC">
      <w:pPr>
        <w:pStyle w:val="ListParagraph"/>
        <w:numPr>
          <w:ilvl w:val="0"/>
          <w:numId w:val="21"/>
        </w:numPr>
        <w:spacing w:after="0" w:line="240" w:lineRule="auto"/>
        <w:ind w:left="1134" w:hanging="425"/>
        <w:jc w:val="both"/>
        <w:rPr>
          <w:rFonts w:ascii="Bookman Old Style" w:hAnsi="Bookman Old Style"/>
          <w:sz w:val="24"/>
          <w:szCs w:val="24"/>
        </w:rPr>
      </w:pPr>
      <w:r>
        <w:rPr>
          <w:rFonts w:ascii="Bookman Old Style" w:hAnsi="Bookman Old Style"/>
          <w:i/>
          <w:sz w:val="24"/>
        </w:rPr>
        <w:t>Todos os contratos celebrados para os postos a tempo inteiro só podem sê-lo por um mandato de cinco anos, tendo em conta os constrangimentos financeiros e a incerteza de financiamento futuro.</w:t>
      </w:r>
    </w:p>
    <w:p w14:paraId="574EE251" w14:textId="77777777" w:rsidR="00AD62DE" w:rsidRDefault="00AD62DE" w:rsidP="00AD62DE">
      <w:pPr>
        <w:pStyle w:val="ListParagraph"/>
        <w:spacing w:after="0" w:line="240" w:lineRule="auto"/>
        <w:ind w:left="1429"/>
        <w:jc w:val="both"/>
        <w:rPr>
          <w:rFonts w:ascii="Bookman Old Style" w:hAnsi="Bookman Old Style"/>
          <w:sz w:val="24"/>
          <w:szCs w:val="24"/>
        </w:rPr>
      </w:pPr>
    </w:p>
    <w:p w14:paraId="4F6D3654" w14:textId="788211AB" w:rsidR="002003BF" w:rsidRPr="00E111F6" w:rsidRDefault="00D06E13"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orçamento de 2023/2024 prevê, portanto, um total de 20 postos, 16 dos quais são para trabalhadores a tempo inteiro, 2 subcontratados e 2 estagiários. Embora se precise de mais funcionários, sobretudo no Departamento dos Assuntos Parlamentares &amp; Programas, os postos vagos não podem ser preenchidos, uma vez que a situação financeira é tal que os contratos para quaisquer funcionários adicionais, além daqueles que já estão previstos, não podem ser garantidos </w:t>
      </w:r>
      <w:r w:rsidR="00BA58B2">
        <w:rPr>
          <w:rFonts w:ascii="Bookman Old Style" w:hAnsi="Bookman Old Style"/>
          <w:sz w:val="24"/>
        </w:rPr>
        <w:t xml:space="preserve">para </w:t>
      </w:r>
      <w:r>
        <w:rPr>
          <w:rFonts w:ascii="Bookman Old Style" w:hAnsi="Bookman Old Style"/>
          <w:sz w:val="24"/>
        </w:rPr>
        <w:t>o desejado mandato de cinco anos</w:t>
      </w:r>
      <w:r w:rsidR="00BA58B2">
        <w:rPr>
          <w:rFonts w:ascii="Bookman Old Style" w:hAnsi="Bookman Old Style"/>
          <w:sz w:val="24"/>
        </w:rPr>
        <w:t xml:space="preserve"> no mínimo</w:t>
      </w:r>
      <w:r>
        <w:rPr>
          <w:rFonts w:ascii="Bookman Old Style" w:hAnsi="Bookman Old Style"/>
          <w:sz w:val="24"/>
        </w:rPr>
        <w:t xml:space="preserve">. Isto é para acatar a decisão da Assembleia Plenária de não aumentar as contribuições obrigatórias dos membros nos próximos anos. </w:t>
      </w:r>
    </w:p>
    <w:p w14:paraId="7AB6DF34" w14:textId="77777777" w:rsidR="00AD62DE" w:rsidRDefault="00AD62DE" w:rsidP="00AD62DE">
      <w:pPr>
        <w:pStyle w:val="ListParagraph"/>
        <w:spacing w:after="0" w:line="240" w:lineRule="auto"/>
        <w:ind w:left="709"/>
        <w:jc w:val="both"/>
        <w:rPr>
          <w:rFonts w:ascii="Bookman Old Style" w:hAnsi="Bookman Old Style"/>
          <w:i/>
          <w:iCs/>
          <w:sz w:val="24"/>
          <w:szCs w:val="24"/>
        </w:rPr>
      </w:pPr>
    </w:p>
    <w:p w14:paraId="7A51869C" w14:textId="2A503F54" w:rsidR="00630B4A" w:rsidRPr="001366E6" w:rsidRDefault="00F23CD3"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Com os actuais níveis de provimento de pessoal, incluindo mais um secretário de comissão &amp; gestor de programa, segue-se a tendência projectada que mostra que, se não houver aumento de contribuições, a factura salarial vai comportar 99% das contribuições pagas pelos membros até 2026. O aumento é estimado em 7% por ano, com base na média de CPI de 5% no período de Janeiro a Setembro de 2022 e o incremento das faixas salariais de 2%. A percentagem dos salários</w:t>
      </w:r>
      <w:r w:rsidR="00BA58B2">
        <w:rPr>
          <w:rFonts w:ascii="Bookman Old Style" w:hAnsi="Bookman Old Style"/>
          <w:sz w:val="24"/>
        </w:rPr>
        <w:t>,</w:t>
      </w:r>
      <w:r>
        <w:rPr>
          <w:rFonts w:ascii="Bookman Old Style" w:hAnsi="Bookman Old Style"/>
          <w:sz w:val="24"/>
        </w:rPr>
        <w:t xml:space="preserve"> face à</w:t>
      </w:r>
      <w:r w:rsidR="00BA58B2">
        <w:rPr>
          <w:rFonts w:ascii="Bookman Old Style" w:hAnsi="Bookman Old Style"/>
          <w:sz w:val="24"/>
        </w:rPr>
        <w:t>s</w:t>
      </w:r>
      <w:r>
        <w:rPr>
          <w:rFonts w:ascii="Bookman Old Style" w:hAnsi="Bookman Old Style"/>
          <w:sz w:val="24"/>
        </w:rPr>
        <w:t xml:space="preserve"> contribuições dos membros</w:t>
      </w:r>
      <w:r w:rsidR="00BA58B2">
        <w:rPr>
          <w:rFonts w:ascii="Bookman Old Style" w:hAnsi="Bookman Old Style"/>
          <w:sz w:val="24"/>
        </w:rPr>
        <w:t>,</w:t>
      </w:r>
      <w:r>
        <w:rPr>
          <w:rFonts w:ascii="Bookman Old Style" w:hAnsi="Bookman Old Style"/>
          <w:sz w:val="24"/>
        </w:rPr>
        <w:t xml:space="preserve"> situa-se actualmente em 81%. Isto significa que, na ausência de incrementos nas contribuições dos membros, e sem financiamento externo, as actividades do Fórum serão fortemente afectadas pela negativa.</w:t>
      </w:r>
    </w:p>
    <w:tbl>
      <w:tblPr>
        <w:tblW w:w="10213" w:type="dxa"/>
        <w:tblLook w:val="04A0" w:firstRow="1" w:lastRow="0" w:firstColumn="1" w:lastColumn="0" w:noHBand="0" w:noVBand="1"/>
      </w:tblPr>
      <w:tblGrid>
        <w:gridCol w:w="3534"/>
        <w:gridCol w:w="1472"/>
        <w:gridCol w:w="1313"/>
        <w:gridCol w:w="1298"/>
        <w:gridCol w:w="1298"/>
        <w:gridCol w:w="1298"/>
      </w:tblGrid>
      <w:tr w:rsidR="00721854" w:rsidRPr="00721854" w14:paraId="21D480F5" w14:textId="77777777" w:rsidTr="00EC59BC">
        <w:trPr>
          <w:trHeight w:val="189"/>
        </w:trPr>
        <w:tc>
          <w:tcPr>
            <w:tcW w:w="35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3E93F93" w14:textId="77777777" w:rsidR="00721854" w:rsidRPr="00721854" w:rsidRDefault="00721854" w:rsidP="00721854">
            <w:pPr>
              <w:spacing w:after="0" w:line="240" w:lineRule="auto"/>
              <w:rPr>
                <w:rFonts w:ascii="Calisto MT" w:eastAsia="Times New Roman" w:hAnsi="Calisto MT" w:cs="Calibri"/>
                <w:b/>
                <w:bCs/>
                <w:color w:val="000000"/>
              </w:rPr>
            </w:pPr>
            <w:r>
              <w:rPr>
                <w:rFonts w:ascii="Calisto MT" w:hAnsi="Calisto MT"/>
                <w:b/>
                <w:color w:val="000000"/>
              </w:rPr>
              <w:lastRenderedPageBreak/>
              <w:t>Funcionários em funções</w:t>
            </w:r>
          </w:p>
        </w:tc>
        <w:tc>
          <w:tcPr>
            <w:tcW w:w="1472" w:type="dxa"/>
            <w:tcBorders>
              <w:top w:val="single" w:sz="8" w:space="0" w:color="auto"/>
              <w:left w:val="nil"/>
              <w:bottom w:val="nil"/>
              <w:right w:val="single" w:sz="8" w:space="0" w:color="auto"/>
            </w:tcBorders>
            <w:shd w:val="clear" w:color="auto" w:fill="auto"/>
            <w:noWrap/>
            <w:vAlign w:val="bottom"/>
            <w:hideMark/>
          </w:tcPr>
          <w:p w14:paraId="5638DB51"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Ano 1</w:t>
            </w:r>
          </w:p>
        </w:tc>
        <w:tc>
          <w:tcPr>
            <w:tcW w:w="1313" w:type="dxa"/>
            <w:tcBorders>
              <w:top w:val="single" w:sz="8" w:space="0" w:color="auto"/>
              <w:left w:val="nil"/>
              <w:bottom w:val="nil"/>
              <w:right w:val="single" w:sz="8" w:space="0" w:color="auto"/>
            </w:tcBorders>
            <w:shd w:val="clear" w:color="auto" w:fill="auto"/>
            <w:noWrap/>
            <w:vAlign w:val="bottom"/>
            <w:hideMark/>
          </w:tcPr>
          <w:p w14:paraId="5E42A870"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Ano 2</w:t>
            </w:r>
          </w:p>
        </w:tc>
        <w:tc>
          <w:tcPr>
            <w:tcW w:w="1298" w:type="dxa"/>
            <w:tcBorders>
              <w:top w:val="single" w:sz="8" w:space="0" w:color="auto"/>
              <w:left w:val="nil"/>
              <w:bottom w:val="nil"/>
              <w:right w:val="single" w:sz="8" w:space="0" w:color="auto"/>
            </w:tcBorders>
            <w:shd w:val="clear" w:color="auto" w:fill="auto"/>
            <w:noWrap/>
            <w:vAlign w:val="bottom"/>
            <w:hideMark/>
          </w:tcPr>
          <w:p w14:paraId="3E44ADC0"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Ano 3</w:t>
            </w:r>
          </w:p>
        </w:tc>
        <w:tc>
          <w:tcPr>
            <w:tcW w:w="1298" w:type="dxa"/>
            <w:tcBorders>
              <w:top w:val="single" w:sz="8" w:space="0" w:color="auto"/>
              <w:left w:val="nil"/>
              <w:bottom w:val="nil"/>
              <w:right w:val="single" w:sz="8" w:space="0" w:color="auto"/>
            </w:tcBorders>
            <w:shd w:val="clear" w:color="auto" w:fill="auto"/>
            <w:noWrap/>
            <w:vAlign w:val="bottom"/>
            <w:hideMark/>
          </w:tcPr>
          <w:p w14:paraId="6BCA6927"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Ano 4</w:t>
            </w:r>
          </w:p>
        </w:tc>
        <w:tc>
          <w:tcPr>
            <w:tcW w:w="1298" w:type="dxa"/>
            <w:tcBorders>
              <w:top w:val="single" w:sz="8" w:space="0" w:color="auto"/>
              <w:left w:val="nil"/>
              <w:bottom w:val="nil"/>
              <w:right w:val="single" w:sz="8" w:space="0" w:color="auto"/>
            </w:tcBorders>
            <w:shd w:val="clear" w:color="auto" w:fill="auto"/>
            <w:noWrap/>
            <w:vAlign w:val="bottom"/>
            <w:hideMark/>
          </w:tcPr>
          <w:p w14:paraId="4F30E52B" w14:textId="77777777" w:rsidR="00721854" w:rsidRPr="00721854" w:rsidRDefault="00721854" w:rsidP="00721854">
            <w:pPr>
              <w:spacing w:after="0" w:line="240" w:lineRule="auto"/>
              <w:jc w:val="center"/>
              <w:rPr>
                <w:rFonts w:ascii="Calisto MT" w:eastAsia="Times New Roman" w:hAnsi="Calisto MT" w:cs="Calibri"/>
                <w:b/>
                <w:bCs/>
                <w:color w:val="000000"/>
              </w:rPr>
            </w:pPr>
            <w:r>
              <w:rPr>
                <w:rFonts w:ascii="Calisto MT" w:hAnsi="Calisto MT"/>
                <w:b/>
                <w:color w:val="000000"/>
              </w:rPr>
              <w:t>Ano 5</w:t>
            </w:r>
          </w:p>
        </w:tc>
      </w:tr>
      <w:tr w:rsidR="00721854" w:rsidRPr="00721854" w14:paraId="72142BD7" w14:textId="77777777" w:rsidTr="00EC59BC">
        <w:trPr>
          <w:trHeight w:val="189"/>
        </w:trPr>
        <w:tc>
          <w:tcPr>
            <w:tcW w:w="3534" w:type="dxa"/>
            <w:tcBorders>
              <w:top w:val="nil"/>
              <w:left w:val="single" w:sz="8" w:space="0" w:color="auto"/>
              <w:bottom w:val="single" w:sz="4" w:space="0" w:color="auto"/>
              <w:right w:val="single" w:sz="8" w:space="0" w:color="auto"/>
            </w:tcBorders>
            <w:shd w:val="clear" w:color="auto" w:fill="auto"/>
            <w:noWrap/>
            <w:vAlign w:val="bottom"/>
            <w:hideMark/>
          </w:tcPr>
          <w:p w14:paraId="706404C7" w14:textId="77777777" w:rsidR="00721854" w:rsidRPr="00721854" w:rsidRDefault="00721854" w:rsidP="00721854">
            <w:pPr>
              <w:spacing w:after="0" w:line="240" w:lineRule="auto"/>
              <w:rPr>
                <w:rFonts w:ascii="Calisto MT" w:eastAsia="Times New Roman" w:hAnsi="Calisto MT" w:cs="Calibri"/>
                <w:b/>
                <w:bCs/>
                <w:color w:val="000000"/>
              </w:rPr>
            </w:pPr>
            <w:r>
              <w:rPr>
                <w:rFonts w:ascii="Calisto MT" w:hAnsi="Calisto MT"/>
                <w:b/>
                <w:color w:val="000000"/>
              </w:rPr>
              <w:t> </w:t>
            </w:r>
          </w:p>
        </w:tc>
        <w:tc>
          <w:tcPr>
            <w:tcW w:w="1472" w:type="dxa"/>
            <w:tcBorders>
              <w:top w:val="nil"/>
              <w:left w:val="nil"/>
              <w:bottom w:val="single" w:sz="4" w:space="0" w:color="auto"/>
              <w:right w:val="single" w:sz="8" w:space="0" w:color="auto"/>
            </w:tcBorders>
            <w:shd w:val="clear" w:color="auto" w:fill="auto"/>
            <w:noWrap/>
            <w:vAlign w:val="bottom"/>
            <w:hideMark/>
          </w:tcPr>
          <w:p w14:paraId="481834F6"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.2023/ 2024</w:t>
            </w:r>
          </w:p>
        </w:tc>
        <w:tc>
          <w:tcPr>
            <w:tcW w:w="1313" w:type="dxa"/>
            <w:tcBorders>
              <w:top w:val="nil"/>
              <w:left w:val="nil"/>
              <w:bottom w:val="single" w:sz="4" w:space="0" w:color="auto"/>
              <w:right w:val="single" w:sz="8" w:space="0" w:color="auto"/>
            </w:tcBorders>
            <w:shd w:val="clear" w:color="auto" w:fill="auto"/>
            <w:noWrap/>
            <w:vAlign w:val="bottom"/>
            <w:hideMark/>
          </w:tcPr>
          <w:p w14:paraId="63B4A625"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.2024/2025</w:t>
            </w:r>
          </w:p>
        </w:tc>
        <w:tc>
          <w:tcPr>
            <w:tcW w:w="1298" w:type="dxa"/>
            <w:tcBorders>
              <w:top w:val="nil"/>
              <w:left w:val="nil"/>
              <w:bottom w:val="single" w:sz="4" w:space="0" w:color="auto"/>
              <w:right w:val="single" w:sz="8" w:space="0" w:color="auto"/>
            </w:tcBorders>
            <w:shd w:val="clear" w:color="auto" w:fill="auto"/>
            <w:noWrap/>
            <w:vAlign w:val="bottom"/>
            <w:hideMark/>
          </w:tcPr>
          <w:p w14:paraId="2456BF0C"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.2025/ 2026</w:t>
            </w:r>
          </w:p>
        </w:tc>
        <w:tc>
          <w:tcPr>
            <w:tcW w:w="1298" w:type="dxa"/>
            <w:tcBorders>
              <w:top w:val="nil"/>
              <w:left w:val="nil"/>
              <w:bottom w:val="single" w:sz="4" w:space="0" w:color="auto"/>
              <w:right w:val="single" w:sz="8" w:space="0" w:color="auto"/>
            </w:tcBorders>
            <w:shd w:val="clear" w:color="auto" w:fill="auto"/>
            <w:noWrap/>
            <w:vAlign w:val="bottom"/>
            <w:hideMark/>
          </w:tcPr>
          <w:p w14:paraId="2EEBEE86"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.2026/ 2027</w:t>
            </w:r>
          </w:p>
        </w:tc>
        <w:tc>
          <w:tcPr>
            <w:tcW w:w="1298" w:type="dxa"/>
            <w:tcBorders>
              <w:top w:val="nil"/>
              <w:left w:val="nil"/>
              <w:bottom w:val="single" w:sz="4" w:space="0" w:color="auto"/>
              <w:right w:val="single" w:sz="8" w:space="0" w:color="auto"/>
            </w:tcBorders>
            <w:shd w:val="clear" w:color="auto" w:fill="auto"/>
            <w:noWrap/>
            <w:vAlign w:val="bottom"/>
            <w:hideMark/>
          </w:tcPr>
          <w:p w14:paraId="2C2A693E" w14:textId="77777777" w:rsidR="00721854" w:rsidRPr="00721854" w:rsidRDefault="00721854" w:rsidP="00721854">
            <w:pPr>
              <w:spacing w:after="0" w:line="240" w:lineRule="auto"/>
              <w:jc w:val="center"/>
              <w:rPr>
                <w:rFonts w:ascii="Calisto MT" w:eastAsia="Times New Roman" w:hAnsi="Calisto MT" w:cs="Calibri"/>
                <w:b/>
                <w:bCs/>
              </w:rPr>
            </w:pPr>
            <w:r>
              <w:rPr>
                <w:rFonts w:ascii="Calisto MT" w:hAnsi="Calisto MT"/>
                <w:b/>
              </w:rPr>
              <w:t>.2027/ 2028</w:t>
            </w:r>
          </w:p>
        </w:tc>
      </w:tr>
      <w:tr w:rsidR="00721854" w:rsidRPr="00721854" w14:paraId="059DC169" w14:textId="77777777" w:rsidTr="00EC59BC">
        <w:trPr>
          <w:trHeight w:val="189"/>
        </w:trPr>
        <w:tc>
          <w:tcPr>
            <w:tcW w:w="3534" w:type="dxa"/>
            <w:tcBorders>
              <w:top w:val="nil"/>
              <w:left w:val="single" w:sz="8" w:space="0" w:color="auto"/>
              <w:bottom w:val="nil"/>
              <w:right w:val="single" w:sz="8" w:space="0" w:color="auto"/>
            </w:tcBorders>
            <w:shd w:val="clear" w:color="auto" w:fill="auto"/>
            <w:noWrap/>
            <w:vAlign w:val="bottom"/>
            <w:hideMark/>
          </w:tcPr>
          <w:p w14:paraId="0AE2B96A" w14:textId="77777777" w:rsidR="00721854" w:rsidRPr="00721854" w:rsidRDefault="00721854" w:rsidP="00721854">
            <w:pPr>
              <w:spacing w:after="0" w:line="240" w:lineRule="auto"/>
              <w:rPr>
                <w:rFonts w:ascii="Calibri" w:eastAsia="Times New Roman" w:hAnsi="Calibri" w:cs="Calibri"/>
                <w:color w:val="000000"/>
              </w:rPr>
            </w:pPr>
            <w:r>
              <w:rPr>
                <w:rFonts w:ascii="Calibri" w:hAnsi="Calibri"/>
                <w:color w:val="000000"/>
              </w:rPr>
              <w:t> </w:t>
            </w:r>
          </w:p>
        </w:tc>
        <w:tc>
          <w:tcPr>
            <w:tcW w:w="1472" w:type="dxa"/>
            <w:tcBorders>
              <w:top w:val="nil"/>
              <w:left w:val="nil"/>
              <w:bottom w:val="single" w:sz="4" w:space="0" w:color="auto"/>
              <w:right w:val="single" w:sz="8" w:space="0" w:color="auto"/>
            </w:tcBorders>
            <w:shd w:val="clear" w:color="auto" w:fill="auto"/>
            <w:noWrap/>
            <w:vAlign w:val="bottom"/>
            <w:hideMark/>
          </w:tcPr>
          <w:p w14:paraId="36EFD6F9"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17.037.848 </w:t>
            </w:r>
          </w:p>
        </w:tc>
        <w:tc>
          <w:tcPr>
            <w:tcW w:w="1313" w:type="dxa"/>
            <w:tcBorders>
              <w:top w:val="nil"/>
              <w:left w:val="nil"/>
              <w:bottom w:val="single" w:sz="4" w:space="0" w:color="auto"/>
              <w:right w:val="single" w:sz="8" w:space="0" w:color="auto"/>
            </w:tcBorders>
            <w:shd w:val="clear" w:color="auto" w:fill="auto"/>
            <w:noWrap/>
            <w:vAlign w:val="bottom"/>
            <w:hideMark/>
          </w:tcPr>
          <w:p w14:paraId="2A16E287"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18.230.498 </w:t>
            </w:r>
          </w:p>
        </w:tc>
        <w:tc>
          <w:tcPr>
            <w:tcW w:w="1298" w:type="dxa"/>
            <w:tcBorders>
              <w:top w:val="nil"/>
              <w:left w:val="nil"/>
              <w:bottom w:val="single" w:sz="4" w:space="0" w:color="auto"/>
              <w:right w:val="single" w:sz="8" w:space="0" w:color="auto"/>
            </w:tcBorders>
            <w:shd w:val="clear" w:color="auto" w:fill="auto"/>
            <w:noWrap/>
            <w:vAlign w:val="bottom"/>
            <w:hideMark/>
          </w:tcPr>
          <w:p w14:paraId="4AFD273D"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19.506.633 </w:t>
            </w:r>
          </w:p>
        </w:tc>
        <w:tc>
          <w:tcPr>
            <w:tcW w:w="1298" w:type="dxa"/>
            <w:tcBorders>
              <w:top w:val="nil"/>
              <w:left w:val="nil"/>
              <w:bottom w:val="single" w:sz="4" w:space="0" w:color="auto"/>
              <w:right w:val="single" w:sz="8" w:space="0" w:color="auto"/>
            </w:tcBorders>
            <w:shd w:val="clear" w:color="auto" w:fill="auto"/>
            <w:noWrap/>
            <w:vAlign w:val="bottom"/>
            <w:hideMark/>
          </w:tcPr>
          <w:p w14:paraId="6CD732F6"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20.872.097 </w:t>
            </w:r>
          </w:p>
        </w:tc>
        <w:tc>
          <w:tcPr>
            <w:tcW w:w="1298" w:type="dxa"/>
            <w:tcBorders>
              <w:top w:val="nil"/>
              <w:left w:val="nil"/>
              <w:bottom w:val="single" w:sz="4" w:space="0" w:color="auto"/>
              <w:right w:val="single" w:sz="8" w:space="0" w:color="auto"/>
            </w:tcBorders>
            <w:shd w:val="clear" w:color="auto" w:fill="auto"/>
            <w:noWrap/>
            <w:vAlign w:val="bottom"/>
            <w:hideMark/>
          </w:tcPr>
          <w:p w14:paraId="16CB0579"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22.333.144 </w:t>
            </w:r>
          </w:p>
        </w:tc>
      </w:tr>
      <w:tr w:rsidR="00721854" w:rsidRPr="00721854" w14:paraId="02C641E8" w14:textId="77777777" w:rsidTr="00EC59BC">
        <w:trPr>
          <w:trHeight w:val="189"/>
        </w:trPr>
        <w:tc>
          <w:tcPr>
            <w:tcW w:w="3534" w:type="dxa"/>
            <w:tcBorders>
              <w:top w:val="nil"/>
              <w:left w:val="single" w:sz="8" w:space="0" w:color="auto"/>
              <w:bottom w:val="single" w:sz="4" w:space="0" w:color="auto"/>
              <w:right w:val="single" w:sz="8" w:space="0" w:color="auto"/>
            </w:tcBorders>
            <w:shd w:val="clear" w:color="000000" w:fill="FFFF00"/>
            <w:noWrap/>
            <w:vAlign w:val="bottom"/>
            <w:hideMark/>
          </w:tcPr>
          <w:p w14:paraId="10119371" w14:textId="77777777" w:rsidR="00721854" w:rsidRPr="00721854" w:rsidRDefault="00721854" w:rsidP="00721854">
            <w:pPr>
              <w:spacing w:after="0" w:line="240" w:lineRule="auto"/>
              <w:rPr>
                <w:rFonts w:ascii="Calisto MT" w:eastAsia="Times New Roman" w:hAnsi="Calisto MT" w:cs="Calibri"/>
                <w:b/>
                <w:bCs/>
                <w:color w:val="000000"/>
              </w:rPr>
            </w:pPr>
            <w:r>
              <w:rPr>
                <w:rFonts w:ascii="Calisto MT" w:hAnsi="Calisto MT"/>
                <w:b/>
                <w:color w:val="000000"/>
              </w:rPr>
              <w:t>FACTURA SALARIAL TOTAL</w:t>
            </w:r>
          </w:p>
        </w:tc>
        <w:tc>
          <w:tcPr>
            <w:tcW w:w="1472" w:type="dxa"/>
            <w:tcBorders>
              <w:top w:val="nil"/>
              <w:left w:val="nil"/>
              <w:bottom w:val="single" w:sz="4" w:space="0" w:color="auto"/>
              <w:right w:val="single" w:sz="8" w:space="0" w:color="auto"/>
            </w:tcBorders>
            <w:shd w:val="clear" w:color="000000" w:fill="FFFF00"/>
            <w:noWrap/>
            <w:vAlign w:val="bottom"/>
            <w:hideMark/>
          </w:tcPr>
          <w:p w14:paraId="0D5215AB"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17.037.848 </w:t>
            </w:r>
          </w:p>
        </w:tc>
        <w:tc>
          <w:tcPr>
            <w:tcW w:w="1313" w:type="dxa"/>
            <w:tcBorders>
              <w:top w:val="nil"/>
              <w:left w:val="nil"/>
              <w:bottom w:val="single" w:sz="4" w:space="0" w:color="auto"/>
              <w:right w:val="single" w:sz="8" w:space="0" w:color="auto"/>
            </w:tcBorders>
            <w:shd w:val="clear" w:color="000000" w:fill="FFFF00"/>
            <w:noWrap/>
            <w:vAlign w:val="bottom"/>
            <w:hideMark/>
          </w:tcPr>
          <w:p w14:paraId="2115FCC4"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18.230.498 </w:t>
            </w:r>
          </w:p>
        </w:tc>
        <w:tc>
          <w:tcPr>
            <w:tcW w:w="1298" w:type="dxa"/>
            <w:tcBorders>
              <w:top w:val="nil"/>
              <w:left w:val="nil"/>
              <w:bottom w:val="single" w:sz="4" w:space="0" w:color="auto"/>
              <w:right w:val="single" w:sz="8" w:space="0" w:color="auto"/>
            </w:tcBorders>
            <w:shd w:val="clear" w:color="000000" w:fill="FFFF00"/>
            <w:noWrap/>
            <w:vAlign w:val="bottom"/>
            <w:hideMark/>
          </w:tcPr>
          <w:p w14:paraId="638EB528"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19.506.633 </w:t>
            </w:r>
          </w:p>
        </w:tc>
        <w:tc>
          <w:tcPr>
            <w:tcW w:w="1298" w:type="dxa"/>
            <w:tcBorders>
              <w:top w:val="nil"/>
              <w:left w:val="nil"/>
              <w:bottom w:val="single" w:sz="4" w:space="0" w:color="auto"/>
              <w:right w:val="single" w:sz="8" w:space="0" w:color="auto"/>
            </w:tcBorders>
            <w:shd w:val="clear" w:color="000000" w:fill="FFFF00"/>
            <w:noWrap/>
            <w:vAlign w:val="bottom"/>
            <w:hideMark/>
          </w:tcPr>
          <w:p w14:paraId="74C8A415"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20.872.097 </w:t>
            </w:r>
          </w:p>
        </w:tc>
        <w:tc>
          <w:tcPr>
            <w:tcW w:w="1298" w:type="dxa"/>
            <w:tcBorders>
              <w:top w:val="nil"/>
              <w:left w:val="nil"/>
              <w:bottom w:val="single" w:sz="4" w:space="0" w:color="auto"/>
              <w:right w:val="single" w:sz="8" w:space="0" w:color="auto"/>
            </w:tcBorders>
            <w:shd w:val="clear" w:color="000000" w:fill="FFFF00"/>
            <w:noWrap/>
            <w:vAlign w:val="bottom"/>
            <w:hideMark/>
          </w:tcPr>
          <w:p w14:paraId="504BB0B0"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 xml:space="preserve">      22.333.144 </w:t>
            </w:r>
          </w:p>
        </w:tc>
      </w:tr>
      <w:tr w:rsidR="00721854" w:rsidRPr="00721854" w14:paraId="49C3CA6B" w14:textId="77777777" w:rsidTr="00EC59BC">
        <w:trPr>
          <w:trHeight w:val="197"/>
        </w:trPr>
        <w:tc>
          <w:tcPr>
            <w:tcW w:w="3534" w:type="dxa"/>
            <w:tcBorders>
              <w:top w:val="nil"/>
              <w:left w:val="single" w:sz="8" w:space="0" w:color="auto"/>
              <w:bottom w:val="single" w:sz="8" w:space="0" w:color="auto"/>
              <w:right w:val="single" w:sz="8" w:space="0" w:color="auto"/>
            </w:tcBorders>
            <w:shd w:val="clear" w:color="000000" w:fill="C4D79B"/>
            <w:noWrap/>
            <w:vAlign w:val="bottom"/>
            <w:hideMark/>
          </w:tcPr>
          <w:p w14:paraId="0ADB1F53" w14:textId="77777777" w:rsidR="00721854" w:rsidRPr="00721854" w:rsidRDefault="00721854" w:rsidP="00721854">
            <w:pPr>
              <w:spacing w:after="0" w:line="240" w:lineRule="auto"/>
              <w:rPr>
                <w:rFonts w:ascii="Calisto MT" w:eastAsia="Times New Roman" w:hAnsi="Calisto MT" w:cs="Calibri"/>
                <w:b/>
                <w:bCs/>
              </w:rPr>
            </w:pPr>
            <w:r>
              <w:rPr>
                <w:rFonts w:ascii="Calisto MT" w:hAnsi="Calisto MT"/>
                <w:b/>
              </w:rPr>
              <w:t>Salários como % do total das contribuições dos membros</w:t>
            </w:r>
          </w:p>
        </w:tc>
        <w:tc>
          <w:tcPr>
            <w:tcW w:w="1472" w:type="dxa"/>
            <w:tcBorders>
              <w:top w:val="nil"/>
              <w:left w:val="nil"/>
              <w:bottom w:val="single" w:sz="8" w:space="0" w:color="auto"/>
              <w:right w:val="single" w:sz="8" w:space="0" w:color="auto"/>
            </w:tcBorders>
            <w:shd w:val="clear" w:color="000000" w:fill="C4D79B"/>
            <w:noWrap/>
            <w:vAlign w:val="bottom"/>
            <w:hideMark/>
          </w:tcPr>
          <w:p w14:paraId="134D75EB"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81%</w:t>
            </w:r>
          </w:p>
        </w:tc>
        <w:tc>
          <w:tcPr>
            <w:tcW w:w="1313" w:type="dxa"/>
            <w:tcBorders>
              <w:top w:val="nil"/>
              <w:left w:val="nil"/>
              <w:bottom w:val="single" w:sz="8" w:space="0" w:color="auto"/>
              <w:right w:val="single" w:sz="8" w:space="0" w:color="auto"/>
            </w:tcBorders>
            <w:shd w:val="clear" w:color="000000" w:fill="C4D79B"/>
            <w:noWrap/>
            <w:vAlign w:val="bottom"/>
            <w:hideMark/>
          </w:tcPr>
          <w:p w14:paraId="1DB17CC6"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86%</w:t>
            </w:r>
          </w:p>
        </w:tc>
        <w:tc>
          <w:tcPr>
            <w:tcW w:w="1298" w:type="dxa"/>
            <w:tcBorders>
              <w:top w:val="nil"/>
              <w:left w:val="nil"/>
              <w:bottom w:val="single" w:sz="8" w:space="0" w:color="auto"/>
              <w:right w:val="single" w:sz="8" w:space="0" w:color="auto"/>
            </w:tcBorders>
            <w:shd w:val="clear" w:color="000000" w:fill="C4D79B"/>
            <w:noWrap/>
            <w:vAlign w:val="bottom"/>
            <w:hideMark/>
          </w:tcPr>
          <w:p w14:paraId="3D0C7C4D"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92%</w:t>
            </w:r>
          </w:p>
        </w:tc>
        <w:tc>
          <w:tcPr>
            <w:tcW w:w="1298" w:type="dxa"/>
            <w:tcBorders>
              <w:top w:val="nil"/>
              <w:left w:val="nil"/>
              <w:bottom w:val="single" w:sz="8" w:space="0" w:color="auto"/>
              <w:right w:val="single" w:sz="8" w:space="0" w:color="auto"/>
            </w:tcBorders>
            <w:shd w:val="clear" w:color="000000" w:fill="C4D79B"/>
            <w:noWrap/>
            <w:vAlign w:val="bottom"/>
            <w:hideMark/>
          </w:tcPr>
          <w:p w14:paraId="2309794B" w14:textId="77777777" w:rsidR="00721854" w:rsidRPr="00721854" w:rsidRDefault="00721854" w:rsidP="00721854">
            <w:pPr>
              <w:spacing w:after="0" w:line="240" w:lineRule="auto"/>
              <w:jc w:val="right"/>
              <w:rPr>
                <w:rFonts w:ascii="Calibri" w:eastAsia="Times New Roman" w:hAnsi="Calibri" w:cs="Calibri"/>
                <w:b/>
                <w:bCs/>
              </w:rPr>
            </w:pPr>
            <w:r>
              <w:rPr>
                <w:rFonts w:ascii="Calibri" w:hAnsi="Calibri"/>
                <w:b/>
              </w:rPr>
              <w:t>99%</w:t>
            </w:r>
          </w:p>
        </w:tc>
        <w:tc>
          <w:tcPr>
            <w:tcW w:w="1298" w:type="dxa"/>
            <w:tcBorders>
              <w:top w:val="nil"/>
              <w:left w:val="nil"/>
              <w:bottom w:val="single" w:sz="8" w:space="0" w:color="auto"/>
              <w:right w:val="single" w:sz="8" w:space="0" w:color="auto"/>
            </w:tcBorders>
            <w:shd w:val="clear" w:color="000000" w:fill="C4D79B"/>
            <w:noWrap/>
            <w:vAlign w:val="bottom"/>
            <w:hideMark/>
          </w:tcPr>
          <w:p w14:paraId="3D7EEFD6" w14:textId="77777777" w:rsidR="00721854" w:rsidRPr="00721854" w:rsidRDefault="00721854" w:rsidP="00721854">
            <w:pPr>
              <w:spacing w:after="0" w:line="240" w:lineRule="auto"/>
              <w:jc w:val="right"/>
              <w:rPr>
                <w:rFonts w:ascii="Bookman Old Style" w:eastAsia="Times New Roman" w:hAnsi="Bookman Old Style" w:cs="Calibri"/>
                <w:b/>
                <w:bCs/>
              </w:rPr>
            </w:pPr>
            <w:r>
              <w:rPr>
                <w:rFonts w:ascii="Bookman Old Style" w:hAnsi="Bookman Old Style"/>
                <w:b/>
              </w:rPr>
              <w:t>106%</w:t>
            </w:r>
          </w:p>
        </w:tc>
      </w:tr>
    </w:tbl>
    <w:p w14:paraId="6C5359CE" w14:textId="3AF06D3C" w:rsidR="006942FF" w:rsidRDefault="006942FF" w:rsidP="002003BF">
      <w:pPr>
        <w:pStyle w:val="ListParagraph"/>
        <w:spacing w:after="0" w:line="240" w:lineRule="auto"/>
        <w:ind w:left="709" w:hanging="709"/>
        <w:jc w:val="both"/>
        <w:rPr>
          <w:rFonts w:ascii="Bookman Old Style" w:hAnsi="Bookman Old Style"/>
          <w:color w:val="FF0000"/>
          <w:sz w:val="24"/>
          <w:szCs w:val="24"/>
        </w:rPr>
      </w:pPr>
    </w:p>
    <w:p w14:paraId="03CC2F0A" w14:textId="0D785CCF" w:rsidR="004D35C5" w:rsidRPr="004D35C5" w:rsidRDefault="00A7077D" w:rsidP="00E111F6">
      <w:pPr>
        <w:pStyle w:val="ListParagraph"/>
        <w:numPr>
          <w:ilvl w:val="1"/>
          <w:numId w:val="33"/>
        </w:numPr>
        <w:spacing w:after="0" w:line="240" w:lineRule="auto"/>
        <w:ind w:left="709" w:hanging="709"/>
        <w:rPr>
          <w:rFonts w:ascii="Bookman Old Style" w:hAnsi="Bookman Old Style"/>
          <w:b/>
          <w:bCs/>
          <w:sz w:val="24"/>
          <w:szCs w:val="24"/>
        </w:rPr>
      </w:pPr>
      <w:r>
        <w:rPr>
          <w:rFonts w:ascii="Bookman Old Style" w:hAnsi="Bookman Old Style"/>
          <w:b/>
          <w:sz w:val="24"/>
        </w:rPr>
        <w:t>Custos administrativos gerais: N$3.897.615</w:t>
      </w:r>
      <w:r>
        <w:rPr>
          <w:rFonts w:ascii="Bookman Old Style" w:hAnsi="Bookman Old Style"/>
          <w:b/>
          <w:color w:val="FF0000"/>
          <w:sz w:val="24"/>
        </w:rPr>
        <w:t xml:space="preserve"> </w:t>
      </w:r>
    </w:p>
    <w:p w14:paraId="3585B99C" w14:textId="50D5CE41" w:rsidR="00A7077D" w:rsidRPr="008040EC" w:rsidRDefault="00A7077D" w:rsidP="004D35C5">
      <w:pPr>
        <w:pStyle w:val="ListParagraph"/>
        <w:spacing w:after="0" w:line="240" w:lineRule="auto"/>
        <w:ind w:left="709"/>
        <w:jc w:val="both"/>
        <w:rPr>
          <w:rFonts w:ascii="Bookman Old Style" w:hAnsi="Bookman Old Style"/>
          <w:b/>
          <w:sz w:val="24"/>
          <w:szCs w:val="24"/>
        </w:rPr>
      </w:pPr>
    </w:p>
    <w:p w14:paraId="1E5647D1" w14:textId="35C83DEB" w:rsidR="001553EA" w:rsidRPr="00FE73C4" w:rsidRDefault="00464AC7"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orçamento prevê custos administrativos gerais de N$3.897.615 em comparação com N$2.705.558 no orçamento do ano anterior, representando um aumento de 44%. </w:t>
      </w:r>
    </w:p>
    <w:p w14:paraId="08B1CF1A" w14:textId="77777777" w:rsidR="002003BF" w:rsidRPr="008040EC" w:rsidRDefault="002003BF" w:rsidP="002003BF">
      <w:pPr>
        <w:pStyle w:val="ListParagraph"/>
        <w:spacing w:after="0" w:line="240" w:lineRule="auto"/>
        <w:ind w:left="709"/>
        <w:jc w:val="both"/>
        <w:rPr>
          <w:rFonts w:ascii="Bookman Old Style" w:hAnsi="Bookman Old Style"/>
          <w:sz w:val="24"/>
          <w:szCs w:val="24"/>
        </w:rPr>
      </w:pPr>
    </w:p>
    <w:p w14:paraId="0198FEBB" w14:textId="7D32930A" w:rsidR="004C5197" w:rsidRPr="008040EC" w:rsidRDefault="001553EA"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As despesas administrativas gerais servem para as operações do Secretariado e incluem as despesas gerais de escritório, os custos de comunicação, despesas de manutenção da viatura, despesas de viagens e ajudas de custo, despesas de auditoria e despesas de seguros. </w:t>
      </w:r>
    </w:p>
    <w:p w14:paraId="183FEABC" w14:textId="77777777" w:rsidR="002003BF" w:rsidRPr="008040EC" w:rsidRDefault="002003BF" w:rsidP="002003BF">
      <w:pPr>
        <w:spacing w:after="0" w:line="240" w:lineRule="auto"/>
        <w:jc w:val="both"/>
        <w:rPr>
          <w:rFonts w:ascii="Bookman Old Style" w:hAnsi="Bookman Old Style"/>
          <w:sz w:val="24"/>
          <w:szCs w:val="24"/>
        </w:rPr>
      </w:pPr>
    </w:p>
    <w:p w14:paraId="5638E020" w14:textId="01DAD8DA" w:rsidR="00B73DD3" w:rsidRDefault="00A7077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aumento significativo de N$1,19 milhões nesta proposta de orçamento é causado pela adição dos custos relativos ao reforço dos sistemas-chave, procedimentos &amp; processos-chave tais como a automatização do sistema de gestão dos recursos humanos &amp; do desempenho e da análise comparativa com a União Interparlamentar. Há também um aumento nos custos de relocação e provisão de custos de recrutamento. Há custos pontuais que podem deixar de figurar no próximo orçamento. </w:t>
      </w:r>
    </w:p>
    <w:p w14:paraId="5EFB0A42" w14:textId="77777777" w:rsidR="00B73DD3" w:rsidRPr="00B73DD3" w:rsidRDefault="00B73DD3" w:rsidP="00B73DD3">
      <w:pPr>
        <w:pStyle w:val="ListParagraph"/>
        <w:rPr>
          <w:rFonts w:ascii="Bookman Old Style" w:hAnsi="Bookman Old Style"/>
          <w:sz w:val="24"/>
          <w:szCs w:val="24"/>
        </w:rPr>
      </w:pPr>
    </w:p>
    <w:p w14:paraId="6C9A2D18" w14:textId="72128B21" w:rsidR="002003BF" w:rsidRDefault="00E85A29"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A dotação dos honorários de auditoria é aumentada de N$150.000 para N$303.000, um aumento de N$153.000 (102%), uma vez que foi feita uma provisão para o destacamento de um auditor interno por um pagamento de US$500 por mês. Além disso, os honorários de auditoria externa são acrescidos para N$195.000, com base nos honorários cobrados para o ano findo em 31 de Março de 2022. </w:t>
      </w:r>
    </w:p>
    <w:p w14:paraId="0C4C693F" w14:textId="77777777" w:rsidR="003B770D" w:rsidRPr="003B770D" w:rsidRDefault="003B770D" w:rsidP="003B770D">
      <w:pPr>
        <w:pStyle w:val="ListParagraph"/>
        <w:rPr>
          <w:rFonts w:ascii="Bookman Old Style" w:hAnsi="Bookman Old Style"/>
          <w:sz w:val="24"/>
          <w:szCs w:val="24"/>
        </w:rPr>
      </w:pPr>
    </w:p>
    <w:p w14:paraId="002D5230" w14:textId="1E516BE0" w:rsidR="00E37552" w:rsidRDefault="003B770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As despesas financeiras também sofreram um aumento considerável de N$266.178 (67%), de N$396.000 para N$662.178, com base nos juros actualmente cobrados para os empréstimos da casa e da viatura.</w:t>
      </w:r>
    </w:p>
    <w:p w14:paraId="4C7053D1" w14:textId="0571F76A" w:rsidR="003B770D" w:rsidRDefault="003B770D" w:rsidP="00BB3632">
      <w:pPr>
        <w:pStyle w:val="ListParagraph"/>
        <w:spacing w:after="0" w:line="240" w:lineRule="auto"/>
        <w:ind w:left="709"/>
        <w:jc w:val="both"/>
        <w:rPr>
          <w:rFonts w:ascii="Bookman Old Style" w:hAnsi="Bookman Old Style"/>
          <w:sz w:val="24"/>
          <w:szCs w:val="24"/>
        </w:rPr>
      </w:pPr>
    </w:p>
    <w:p w14:paraId="6F0C65A6" w14:textId="23CCCB0D" w:rsidR="00A7077D" w:rsidRPr="00B61E56" w:rsidRDefault="00230D08" w:rsidP="00E111F6">
      <w:pPr>
        <w:pStyle w:val="ListParagraph"/>
        <w:numPr>
          <w:ilvl w:val="1"/>
          <w:numId w:val="33"/>
        </w:numPr>
        <w:spacing w:after="0" w:line="240" w:lineRule="auto"/>
        <w:ind w:left="709" w:hanging="709"/>
        <w:jc w:val="both"/>
        <w:rPr>
          <w:rFonts w:ascii="Bookman Old Style" w:hAnsi="Bookman Old Style"/>
          <w:sz w:val="24"/>
          <w:szCs w:val="24"/>
        </w:rPr>
      </w:pPr>
      <w:r>
        <w:rPr>
          <w:rFonts w:ascii="Bookman Old Style" w:hAnsi="Bookman Old Style"/>
          <w:b/>
          <w:sz w:val="24"/>
        </w:rPr>
        <w:t>Despesas operacionais directas: N$ 6.460.200.</w:t>
      </w:r>
    </w:p>
    <w:p w14:paraId="49A4714A" w14:textId="77777777" w:rsidR="00601708" w:rsidRPr="00B61E56" w:rsidRDefault="00601708" w:rsidP="002003BF">
      <w:pPr>
        <w:pStyle w:val="ListParagraph"/>
        <w:spacing w:after="0" w:line="240" w:lineRule="auto"/>
        <w:ind w:left="709" w:hanging="709"/>
        <w:jc w:val="both"/>
        <w:rPr>
          <w:rFonts w:ascii="Bookman Old Style" w:hAnsi="Bookman Old Style"/>
          <w:sz w:val="24"/>
          <w:szCs w:val="24"/>
        </w:rPr>
      </w:pPr>
    </w:p>
    <w:p w14:paraId="481FA1D7" w14:textId="4C17728C" w:rsidR="0015582D" w:rsidRPr="00B61E56" w:rsidRDefault="0015582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As despesas operacionais directas representam a actividade essencial do Fórum e incluem as reuniões estatutárias.</w:t>
      </w:r>
    </w:p>
    <w:p w14:paraId="3A92419F" w14:textId="77777777" w:rsidR="002003BF" w:rsidRPr="00B61E56" w:rsidRDefault="002003BF" w:rsidP="002003BF">
      <w:pPr>
        <w:pStyle w:val="ListParagraph"/>
        <w:spacing w:after="0" w:line="240" w:lineRule="auto"/>
        <w:ind w:left="709"/>
        <w:jc w:val="both"/>
        <w:rPr>
          <w:rFonts w:ascii="Bookman Old Style" w:hAnsi="Bookman Old Style"/>
          <w:sz w:val="24"/>
          <w:szCs w:val="24"/>
        </w:rPr>
      </w:pPr>
    </w:p>
    <w:p w14:paraId="4B2218FC" w14:textId="3CBC40ED" w:rsidR="00D1613A" w:rsidRPr="00B61E56" w:rsidRDefault="0015582D"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orçamento total aumentou em N$2.158.600, de N$4.301.600 em 2022/2023 para N$6.460.200, representando um aumento de 50%. O principal aumento no orçamento decorre da proposta de se realizar tanto a 53.ª como a 54.ª Assembleias Plenárias presencialmente. Além </w:t>
      </w:r>
      <w:r>
        <w:rPr>
          <w:rFonts w:ascii="Bookman Old Style" w:hAnsi="Bookman Old Style"/>
          <w:sz w:val="24"/>
        </w:rPr>
        <w:lastRenderedPageBreak/>
        <w:t>disso, duas reuniões da Comissão Executiva serão presenciais, e quaisquer reuniões adicionais serão realizadas virtualmente. Todas as reuniões das subcomissões da Comissão Executiva e as reuniões estatutárias dos outros órgãos serão realizadas em formato virtual. Este orçamento prevê, portanto, reuniões tanto presenciais como virtuais dos órgãos estatutários do Fórum, como indicam os detalhes apresentados na subsecção 2.4 acima.</w:t>
      </w:r>
    </w:p>
    <w:p w14:paraId="1748A622" w14:textId="422BA1A5" w:rsidR="007E60AB" w:rsidRPr="00B61E56" w:rsidRDefault="007E60AB" w:rsidP="007F3FF5">
      <w:pPr>
        <w:pStyle w:val="ListParagraph"/>
        <w:spacing w:after="0" w:line="240" w:lineRule="auto"/>
        <w:ind w:left="709"/>
        <w:jc w:val="both"/>
        <w:rPr>
          <w:rFonts w:ascii="Bookman Old Style" w:hAnsi="Bookman Old Style"/>
          <w:sz w:val="24"/>
          <w:szCs w:val="24"/>
        </w:rPr>
      </w:pPr>
    </w:p>
    <w:p w14:paraId="6648638C" w14:textId="02F8A117" w:rsidR="00F24930" w:rsidRDefault="007E60AB" w:rsidP="007F3FF5">
      <w:pPr>
        <w:pStyle w:val="ListParagraph"/>
        <w:spacing w:after="0" w:line="240" w:lineRule="auto"/>
        <w:ind w:left="709"/>
        <w:jc w:val="both"/>
        <w:rPr>
          <w:rFonts w:ascii="Bookman Old Style" w:hAnsi="Bookman Old Style"/>
          <w:sz w:val="24"/>
        </w:rPr>
      </w:pPr>
      <w:r>
        <w:rPr>
          <w:rFonts w:ascii="Bookman Old Style" w:hAnsi="Bookman Old Style"/>
          <w:sz w:val="24"/>
        </w:rPr>
        <w:t>Tendo em conta o exposto:</w:t>
      </w:r>
    </w:p>
    <w:p w14:paraId="0C4431C6" w14:textId="77777777" w:rsidR="00EC59BC" w:rsidRPr="00B61E56" w:rsidRDefault="00EC59BC" w:rsidP="007F3FF5">
      <w:pPr>
        <w:pStyle w:val="ListParagraph"/>
        <w:spacing w:after="0" w:line="240" w:lineRule="auto"/>
        <w:ind w:left="709"/>
        <w:jc w:val="both"/>
        <w:rPr>
          <w:rFonts w:ascii="Bookman Old Style" w:hAnsi="Bookman Old Style"/>
          <w:sz w:val="24"/>
          <w:szCs w:val="24"/>
        </w:rPr>
      </w:pPr>
    </w:p>
    <w:p w14:paraId="31247F6F" w14:textId="65544C32" w:rsidR="002003BF" w:rsidRPr="00B61E56" w:rsidRDefault="007E60AB"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orçamento da Assembleia Plenária foi aumentado em 42%, de N$2.164.600 para N$3.068.000. </w:t>
      </w:r>
    </w:p>
    <w:p w14:paraId="7B235EA5" w14:textId="77777777" w:rsidR="003D1BA3" w:rsidRPr="00B61E56" w:rsidRDefault="003D1BA3" w:rsidP="003D1BA3">
      <w:pPr>
        <w:spacing w:after="0" w:line="240" w:lineRule="auto"/>
        <w:jc w:val="both"/>
        <w:rPr>
          <w:rFonts w:ascii="Bookman Old Style" w:hAnsi="Bookman Old Style"/>
          <w:sz w:val="24"/>
          <w:szCs w:val="24"/>
        </w:rPr>
      </w:pPr>
    </w:p>
    <w:p w14:paraId="38CA97F5" w14:textId="29D1E67C" w:rsidR="00FC4C5F" w:rsidRPr="00B61E56" w:rsidRDefault="00C46580"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orçamento das reuniões das comissões permanentes aumentou significativamente em N$534.000 (110%) de N$486.000 para N$1.020.000, enquanto o orçamento para Outros Órgãos Políticos (especificamente o Grupo Regional da Mulher Parlamentar, a CPRFLM e o Comité dos </w:t>
      </w:r>
      <w:r w:rsidR="00297425">
        <w:rPr>
          <w:rFonts w:ascii="Bookman Old Style" w:hAnsi="Bookman Old Style"/>
          <w:sz w:val="24"/>
        </w:rPr>
        <w:t>Secretários-gerais</w:t>
      </w:r>
      <w:r>
        <w:rPr>
          <w:rFonts w:ascii="Bookman Old Style" w:hAnsi="Bookman Old Style"/>
          <w:sz w:val="24"/>
        </w:rPr>
        <w:t xml:space="preserve">) aumentou em N$556.500 (643%) de N$86.500 para N$643.000. </w:t>
      </w:r>
    </w:p>
    <w:p w14:paraId="4C4175BE" w14:textId="77777777" w:rsidR="007E60AB" w:rsidRPr="00B61E56" w:rsidRDefault="007E60AB" w:rsidP="007E60AB">
      <w:pPr>
        <w:spacing w:after="0" w:line="240" w:lineRule="auto"/>
        <w:jc w:val="both"/>
        <w:rPr>
          <w:rFonts w:ascii="Bookman Old Style" w:hAnsi="Bookman Old Style"/>
          <w:sz w:val="24"/>
          <w:szCs w:val="24"/>
        </w:rPr>
      </w:pPr>
    </w:p>
    <w:p w14:paraId="7CB39B38" w14:textId="3236A8FC" w:rsidR="00A01CBD" w:rsidRPr="00B61E56" w:rsidRDefault="00A01CBD" w:rsidP="00E111F6">
      <w:pPr>
        <w:pStyle w:val="ListParagraph"/>
        <w:numPr>
          <w:ilvl w:val="2"/>
          <w:numId w:val="33"/>
        </w:numPr>
        <w:spacing w:after="0" w:line="240" w:lineRule="auto"/>
        <w:jc w:val="both"/>
        <w:rPr>
          <w:rFonts w:ascii="Bookman Old Style" w:hAnsi="Bookman Old Style"/>
          <w:sz w:val="24"/>
          <w:szCs w:val="24"/>
        </w:rPr>
      </w:pPr>
      <w:r>
        <w:rPr>
          <w:rFonts w:ascii="Bookman Old Style" w:hAnsi="Bookman Old Style"/>
          <w:sz w:val="24"/>
        </w:rPr>
        <w:t xml:space="preserve">A rubrica dos custos de tradução aparece reduzido de N$250.000 para N$48.000 porque os custos de tradução foram </w:t>
      </w:r>
      <w:r w:rsidR="00297425">
        <w:rPr>
          <w:rFonts w:ascii="Bookman Old Style" w:hAnsi="Bookman Old Style"/>
          <w:sz w:val="24"/>
        </w:rPr>
        <w:t>inseridos</w:t>
      </w:r>
      <w:r>
        <w:rPr>
          <w:rFonts w:ascii="Bookman Old Style" w:hAnsi="Bookman Old Style"/>
          <w:sz w:val="24"/>
        </w:rPr>
        <w:t xml:space="preserve"> em cada actividade que requer serviços de tradução, e os N$48.000 são uma provisão apenas para qualquer outra tradução. </w:t>
      </w:r>
    </w:p>
    <w:p w14:paraId="2038FBE4" w14:textId="77777777" w:rsidR="002003BF" w:rsidRPr="00B61E56" w:rsidRDefault="002003BF" w:rsidP="002003BF">
      <w:pPr>
        <w:spacing w:after="0" w:line="240" w:lineRule="auto"/>
        <w:jc w:val="both"/>
        <w:rPr>
          <w:rFonts w:ascii="Bookman Old Style" w:hAnsi="Bookman Old Style"/>
          <w:sz w:val="24"/>
          <w:szCs w:val="24"/>
        </w:rPr>
      </w:pPr>
    </w:p>
    <w:p w14:paraId="1A2CB1FC" w14:textId="46006887" w:rsidR="00312550" w:rsidRPr="00B61E56" w:rsidRDefault="00C46580"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sz w:val="24"/>
        </w:rPr>
        <w:t xml:space="preserve">O orçamento de Apoio aos Programas aumentou em 13% apenas, de N$301.500 para N$341.000, uma vez que a maior parte dos fundos foi alocada às comissões permanentes, que por si, constituem apoio aos programas. A transformação do FP-SADC em Parlamento Regional continua a ser uma alta prioridade; daí a alocação da quantia de N$100.000 para esta actividade sob a rubrica Apoio aos Programas. A participação nas reuniões de outros organismos parlamentares regionais e mundiais em prol desta agenda também será suportada pela rubrica Apoio aos Programas. </w:t>
      </w:r>
    </w:p>
    <w:p w14:paraId="3FB4E07F" w14:textId="77777777" w:rsidR="00312550" w:rsidRPr="00B61E56" w:rsidRDefault="00312550" w:rsidP="00312550">
      <w:pPr>
        <w:pStyle w:val="ListParagraph"/>
        <w:rPr>
          <w:rFonts w:ascii="Bookman Old Style" w:hAnsi="Bookman Old Style"/>
          <w:b/>
          <w:bCs/>
          <w:sz w:val="24"/>
          <w:szCs w:val="24"/>
        </w:rPr>
      </w:pPr>
    </w:p>
    <w:p w14:paraId="271A662A" w14:textId="2D931A35" w:rsidR="00D46CAF" w:rsidRPr="00EC59BC" w:rsidRDefault="00C46580" w:rsidP="00E111F6">
      <w:pPr>
        <w:pStyle w:val="ListParagraph"/>
        <w:numPr>
          <w:ilvl w:val="2"/>
          <w:numId w:val="33"/>
        </w:numPr>
        <w:spacing w:after="0" w:line="240" w:lineRule="auto"/>
        <w:ind w:left="709" w:hanging="709"/>
        <w:jc w:val="both"/>
        <w:rPr>
          <w:rFonts w:ascii="Bookman Old Style" w:hAnsi="Bookman Old Style"/>
          <w:sz w:val="24"/>
          <w:szCs w:val="24"/>
        </w:rPr>
      </w:pPr>
      <w:r>
        <w:rPr>
          <w:rFonts w:ascii="Bookman Old Style" w:hAnsi="Bookman Old Style"/>
          <w:b/>
          <w:sz w:val="24"/>
        </w:rPr>
        <w:t xml:space="preserve">Orçamento das missões de observação eleitoral </w:t>
      </w:r>
    </w:p>
    <w:p w14:paraId="4DDC31BC" w14:textId="77777777" w:rsidR="00EC59BC" w:rsidRPr="00EC59BC" w:rsidRDefault="00EC59BC" w:rsidP="00EC59BC">
      <w:pPr>
        <w:spacing w:after="0" w:line="240" w:lineRule="auto"/>
        <w:jc w:val="both"/>
        <w:rPr>
          <w:rFonts w:ascii="Bookman Old Style" w:hAnsi="Bookman Old Style"/>
          <w:sz w:val="24"/>
          <w:szCs w:val="24"/>
        </w:rPr>
      </w:pPr>
    </w:p>
    <w:p w14:paraId="76C226D2" w14:textId="5AF812A8" w:rsidR="003817D9" w:rsidRPr="00EC59BC" w:rsidRDefault="00A75AB9" w:rsidP="003817D9">
      <w:pPr>
        <w:pStyle w:val="ListParagraph"/>
        <w:numPr>
          <w:ilvl w:val="3"/>
          <w:numId w:val="33"/>
        </w:numPr>
        <w:spacing w:after="0" w:line="240" w:lineRule="auto"/>
        <w:jc w:val="both"/>
        <w:rPr>
          <w:rFonts w:ascii="Bookman Old Style" w:hAnsi="Bookman Old Style"/>
          <w:sz w:val="24"/>
          <w:szCs w:val="24"/>
        </w:rPr>
      </w:pPr>
      <w:r>
        <w:rPr>
          <w:rFonts w:ascii="Bookman Old Style" w:hAnsi="Bookman Old Style"/>
          <w:sz w:val="24"/>
        </w:rPr>
        <w:t>O orçamento das missões de observação eleitoral mantém-se em N$300.000. A subsecção 4.3.3 já abordada apresenta mais dados sobre as contribuições que se propõe que os parlamentos membros paguem para as missões de observação eleitoral.</w:t>
      </w:r>
    </w:p>
    <w:p w14:paraId="22FB58D0" w14:textId="77777777" w:rsidR="00EC59BC" w:rsidRPr="00B61E56" w:rsidRDefault="00EC59BC" w:rsidP="00EC59BC">
      <w:pPr>
        <w:pStyle w:val="ListParagraph"/>
        <w:spacing w:after="0" w:line="240" w:lineRule="auto"/>
        <w:ind w:left="1080"/>
        <w:jc w:val="both"/>
        <w:rPr>
          <w:rFonts w:ascii="Bookman Old Style" w:hAnsi="Bookman Old Style"/>
          <w:sz w:val="24"/>
          <w:szCs w:val="24"/>
        </w:rPr>
      </w:pPr>
    </w:p>
    <w:p w14:paraId="3A2F7768" w14:textId="662D6680" w:rsidR="00312550" w:rsidRPr="00B61E56" w:rsidRDefault="00257CED" w:rsidP="003817D9">
      <w:pPr>
        <w:pStyle w:val="ListParagraph"/>
        <w:numPr>
          <w:ilvl w:val="3"/>
          <w:numId w:val="33"/>
        </w:numPr>
        <w:spacing w:after="0" w:line="240" w:lineRule="auto"/>
        <w:jc w:val="both"/>
        <w:rPr>
          <w:rFonts w:ascii="Bookman Old Style" w:hAnsi="Bookman Old Style"/>
          <w:sz w:val="24"/>
          <w:szCs w:val="24"/>
        </w:rPr>
      </w:pPr>
      <w:r>
        <w:rPr>
          <w:rFonts w:ascii="Bookman Old Style" w:hAnsi="Bookman Old Style"/>
          <w:sz w:val="24"/>
        </w:rPr>
        <w:t xml:space="preserve">Serão realizadas em formato virtual as actividades referentes à promoção de reformas eleitorais em todos os Estados membros através da adequação dos ordenamentos jurídicos nacionais à Lei Modelo da SADC sobre as Eleições e a participação em quaisquer oportunidades de reforma nas fases pré- e pós-eleitorais dos ciclos eleitorais de alguns Estados membros, com base no calendário eleitoral da SADC. Para continuar no ritmo dos processos de </w:t>
      </w:r>
      <w:r>
        <w:rPr>
          <w:rFonts w:ascii="Bookman Old Style" w:hAnsi="Bookman Old Style"/>
          <w:sz w:val="24"/>
        </w:rPr>
        <w:lastRenderedPageBreak/>
        <w:t xml:space="preserve">democratização na região da SADC, apesar dos constrangimentos financeiros, o Secretariado vai implementar várias soluções informáticas tais como consultas virtuais, levantamentos electrónicos e rastreadores electrónicos para as reformas eleitorais. O Secretariado vai também tirar partido das parcerias existentes em todos os seus programas por forma a maximizar a sua presença e visibilidade na defesa e protagonização da incorporação da Lei Modelo da SADC sobre as Eleições nos ordenamentos jurídicos nacionais. </w:t>
      </w:r>
    </w:p>
    <w:p w14:paraId="76C39325" w14:textId="7B15029A" w:rsidR="00A75AB9" w:rsidRPr="00B61E56" w:rsidRDefault="00A75AB9" w:rsidP="004909EA">
      <w:pPr>
        <w:spacing w:after="0" w:line="240" w:lineRule="auto"/>
        <w:jc w:val="both"/>
        <w:rPr>
          <w:rFonts w:ascii="Bookman Old Style" w:hAnsi="Bookman Old Style"/>
          <w:sz w:val="24"/>
          <w:szCs w:val="24"/>
        </w:rPr>
      </w:pPr>
    </w:p>
    <w:p w14:paraId="7011D470" w14:textId="1A118182" w:rsidR="004909EA" w:rsidRPr="00B61E56" w:rsidRDefault="004909EA" w:rsidP="00E111F6">
      <w:pPr>
        <w:pStyle w:val="ListParagraph"/>
        <w:numPr>
          <w:ilvl w:val="2"/>
          <w:numId w:val="33"/>
        </w:numPr>
        <w:spacing w:after="0" w:line="240" w:lineRule="auto"/>
        <w:jc w:val="both"/>
        <w:rPr>
          <w:rFonts w:ascii="Bookman Old Style" w:hAnsi="Bookman Old Style"/>
          <w:sz w:val="24"/>
          <w:szCs w:val="24"/>
        </w:rPr>
      </w:pPr>
      <w:r>
        <w:rPr>
          <w:rFonts w:ascii="Bookman Old Style" w:hAnsi="Bookman Old Style"/>
          <w:sz w:val="24"/>
        </w:rPr>
        <w:t xml:space="preserve">A tabela que se segue mostra o orçamento das despesas para a rubrica Despesas Operacionais Directas </w:t>
      </w:r>
      <w:r w:rsidR="00297425">
        <w:rPr>
          <w:rFonts w:ascii="Bookman Old Style" w:hAnsi="Bookman Old Style"/>
          <w:sz w:val="24"/>
        </w:rPr>
        <w:t>d</w:t>
      </w:r>
      <w:r>
        <w:rPr>
          <w:rFonts w:ascii="Bookman Old Style" w:hAnsi="Bookman Old Style"/>
          <w:sz w:val="24"/>
        </w:rPr>
        <w:t xml:space="preserve">o exercício de 2023/2024 e compara-o com as provisões aprovadas </w:t>
      </w:r>
      <w:r w:rsidR="00297425">
        <w:rPr>
          <w:rFonts w:ascii="Bookman Old Style" w:hAnsi="Bookman Old Style"/>
          <w:sz w:val="24"/>
        </w:rPr>
        <w:t xml:space="preserve">para </w:t>
      </w:r>
      <w:r>
        <w:rPr>
          <w:rFonts w:ascii="Bookman Old Style" w:hAnsi="Bookman Old Style"/>
          <w:sz w:val="24"/>
        </w:rPr>
        <w:t>o exercício de 2022/2023.</w:t>
      </w:r>
    </w:p>
    <w:p w14:paraId="5D8565B8" w14:textId="77777777" w:rsidR="004165BE" w:rsidRDefault="004165BE" w:rsidP="00480C2B">
      <w:pPr>
        <w:pStyle w:val="ListParagraph"/>
        <w:spacing w:after="0" w:line="240" w:lineRule="auto"/>
        <w:ind w:left="0"/>
        <w:jc w:val="both"/>
        <w:rPr>
          <w:rFonts w:ascii="Bookman Old Style" w:hAnsi="Bookman Old Style"/>
          <w:sz w:val="24"/>
          <w:szCs w:val="24"/>
        </w:rPr>
      </w:pPr>
    </w:p>
    <w:p w14:paraId="0B06FAFD" w14:textId="77777777" w:rsidR="00A01CBD" w:rsidRPr="008040EC" w:rsidRDefault="00A01CBD" w:rsidP="00480C2B">
      <w:pPr>
        <w:pStyle w:val="ListParagraph"/>
        <w:spacing w:after="0" w:line="240" w:lineRule="auto"/>
        <w:ind w:left="0"/>
        <w:jc w:val="both"/>
        <w:rPr>
          <w:rFonts w:ascii="Bookman Old Style" w:hAnsi="Bookman Old Style"/>
          <w:sz w:val="24"/>
          <w:szCs w:val="24"/>
        </w:rPr>
      </w:pPr>
    </w:p>
    <w:tbl>
      <w:tblPr>
        <w:tblW w:w="9521" w:type="dxa"/>
        <w:tblLook w:val="04A0" w:firstRow="1" w:lastRow="0" w:firstColumn="1" w:lastColumn="0" w:noHBand="0" w:noVBand="1"/>
      </w:tblPr>
      <w:tblGrid>
        <w:gridCol w:w="800"/>
        <w:gridCol w:w="4012"/>
        <w:gridCol w:w="1480"/>
        <w:gridCol w:w="1291"/>
        <w:gridCol w:w="1180"/>
        <w:gridCol w:w="1154"/>
      </w:tblGrid>
      <w:tr w:rsidR="00077EA8" w:rsidRPr="00077EA8" w14:paraId="059A5AC2" w14:textId="77777777" w:rsidTr="00077EA8">
        <w:trPr>
          <w:trHeight w:val="285"/>
        </w:trPr>
        <w:tc>
          <w:tcPr>
            <w:tcW w:w="628" w:type="dxa"/>
            <w:tcBorders>
              <w:top w:val="single" w:sz="8" w:space="0" w:color="auto"/>
              <w:left w:val="single" w:sz="8" w:space="0" w:color="auto"/>
              <w:bottom w:val="nil"/>
              <w:right w:val="nil"/>
            </w:tcBorders>
            <w:shd w:val="clear" w:color="auto" w:fill="auto"/>
            <w:noWrap/>
            <w:vAlign w:val="bottom"/>
            <w:hideMark/>
          </w:tcPr>
          <w:p w14:paraId="503A51C6"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4012" w:type="dxa"/>
            <w:tcBorders>
              <w:top w:val="single" w:sz="8" w:space="0" w:color="auto"/>
              <w:left w:val="nil"/>
              <w:bottom w:val="nil"/>
              <w:right w:val="nil"/>
            </w:tcBorders>
            <w:shd w:val="clear" w:color="auto" w:fill="auto"/>
            <w:noWrap/>
            <w:vAlign w:val="bottom"/>
            <w:hideMark/>
          </w:tcPr>
          <w:p w14:paraId="686009B2"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single" w:sz="8" w:space="0" w:color="auto"/>
              <w:left w:val="single" w:sz="8" w:space="0" w:color="auto"/>
              <w:bottom w:val="nil"/>
              <w:right w:val="single" w:sz="8" w:space="0" w:color="auto"/>
            </w:tcBorders>
            <w:shd w:val="clear" w:color="auto" w:fill="auto"/>
            <w:noWrap/>
            <w:vAlign w:val="bottom"/>
            <w:hideMark/>
          </w:tcPr>
          <w:p w14:paraId="4760D9AA" w14:textId="77777777" w:rsidR="00077EA8" w:rsidRPr="00077EA8" w:rsidRDefault="00077EA8" w:rsidP="00077EA8">
            <w:pPr>
              <w:spacing w:after="0" w:line="240" w:lineRule="auto"/>
              <w:jc w:val="center"/>
              <w:rPr>
                <w:rFonts w:ascii="Calibri" w:eastAsia="Times New Roman" w:hAnsi="Calibri" w:cs="Calibri"/>
                <w:b/>
                <w:bCs/>
              </w:rPr>
            </w:pPr>
            <w:r>
              <w:rPr>
                <w:rFonts w:ascii="Calibri" w:hAnsi="Calibri"/>
                <w:b/>
              </w:rPr>
              <w:t>A</w:t>
            </w:r>
          </w:p>
        </w:tc>
        <w:tc>
          <w:tcPr>
            <w:tcW w:w="1180" w:type="dxa"/>
            <w:tcBorders>
              <w:top w:val="single" w:sz="8" w:space="0" w:color="auto"/>
              <w:left w:val="nil"/>
              <w:bottom w:val="nil"/>
              <w:right w:val="single" w:sz="8" w:space="0" w:color="auto"/>
            </w:tcBorders>
            <w:shd w:val="clear" w:color="auto" w:fill="auto"/>
            <w:noWrap/>
            <w:vAlign w:val="bottom"/>
            <w:hideMark/>
          </w:tcPr>
          <w:p w14:paraId="698B2D17" w14:textId="77777777" w:rsidR="00077EA8" w:rsidRPr="00077EA8" w:rsidRDefault="00077EA8" w:rsidP="00077EA8">
            <w:pPr>
              <w:spacing w:after="0" w:line="240" w:lineRule="auto"/>
              <w:jc w:val="center"/>
              <w:rPr>
                <w:rFonts w:ascii="Calibri" w:eastAsia="Times New Roman" w:hAnsi="Calibri" w:cs="Calibri"/>
                <w:b/>
                <w:bCs/>
              </w:rPr>
            </w:pPr>
            <w:r>
              <w:rPr>
                <w:rFonts w:ascii="Calibri" w:hAnsi="Calibri"/>
                <w:b/>
              </w:rPr>
              <w:t>B</w:t>
            </w:r>
          </w:p>
        </w:tc>
        <w:tc>
          <w:tcPr>
            <w:tcW w:w="1180" w:type="dxa"/>
            <w:tcBorders>
              <w:top w:val="single" w:sz="8" w:space="0" w:color="auto"/>
              <w:left w:val="nil"/>
              <w:bottom w:val="nil"/>
              <w:right w:val="single" w:sz="8" w:space="0" w:color="auto"/>
            </w:tcBorders>
            <w:shd w:val="clear" w:color="auto" w:fill="auto"/>
            <w:noWrap/>
            <w:vAlign w:val="bottom"/>
            <w:hideMark/>
          </w:tcPr>
          <w:p w14:paraId="1B4DBF7F" w14:textId="77777777" w:rsidR="00077EA8" w:rsidRPr="00077EA8" w:rsidRDefault="00077EA8" w:rsidP="00077EA8">
            <w:pPr>
              <w:spacing w:after="0" w:line="240" w:lineRule="auto"/>
              <w:jc w:val="center"/>
              <w:rPr>
                <w:rFonts w:ascii="Calibri" w:eastAsia="Times New Roman" w:hAnsi="Calibri" w:cs="Calibri"/>
                <w:b/>
                <w:bCs/>
              </w:rPr>
            </w:pPr>
            <w:r>
              <w:rPr>
                <w:rFonts w:ascii="Calibri" w:hAnsi="Calibri"/>
                <w:b/>
              </w:rPr>
              <w:t>C</w:t>
            </w:r>
          </w:p>
        </w:tc>
        <w:tc>
          <w:tcPr>
            <w:tcW w:w="1041" w:type="dxa"/>
            <w:tcBorders>
              <w:top w:val="single" w:sz="8" w:space="0" w:color="auto"/>
              <w:left w:val="nil"/>
              <w:bottom w:val="nil"/>
              <w:right w:val="single" w:sz="8" w:space="0" w:color="auto"/>
            </w:tcBorders>
            <w:shd w:val="clear" w:color="auto" w:fill="auto"/>
            <w:noWrap/>
            <w:vAlign w:val="bottom"/>
            <w:hideMark/>
          </w:tcPr>
          <w:p w14:paraId="10B83372" w14:textId="77777777" w:rsidR="00077EA8" w:rsidRPr="00077EA8" w:rsidRDefault="00077EA8" w:rsidP="00077EA8">
            <w:pPr>
              <w:spacing w:after="0" w:line="240" w:lineRule="auto"/>
              <w:jc w:val="center"/>
              <w:rPr>
                <w:rFonts w:ascii="Calibri" w:eastAsia="Times New Roman" w:hAnsi="Calibri" w:cs="Calibri"/>
                <w:b/>
                <w:bCs/>
              </w:rPr>
            </w:pPr>
            <w:r>
              <w:rPr>
                <w:rFonts w:ascii="Calibri" w:hAnsi="Calibri"/>
                <w:b/>
              </w:rPr>
              <w:t>D</w:t>
            </w:r>
          </w:p>
        </w:tc>
      </w:tr>
      <w:tr w:rsidR="00077EA8" w:rsidRPr="00077EA8" w14:paraId="682108F5" w14:textId="77777777" w:rsidTr="00077EA8">
        <w:trPr>
          <w:trHeight w:val="288"/>
        </w:trPr>
        <w:tc>
          <w:tcPr>
            <w:tcW w:w="628" w:type="dxa"/>
            <w:tcBorders>
              <w:top w:val="single" w:sz="8" w:space="0" w:color="auto"/>
              <w:left w:val="single" w:sz="8" w:space="0" w:color="auto"/>
              <w:bottom w:val="nil"/>
              <w:right w:val="nil"/>
            </w:tcBorders>
            <w:shd w:val="clear" w:color="auto" w:fill="auto"/>
            <w:noWrap/>
            <w:vAlign w:val="bottom"/>
            <w:hideMark/>
          </w:tcPr>
          <w:p w14:paraId="0D987CC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PONTO </w:t>
            </w:r>
          </w:p>
        </w:tc>
        <w:tc>
          <w:tcPr>
            <w:tcW w:w="4012" w:type="dxa"/>
            <w:tcBorders>
              <w:top w:val="single" w:sz="8" w:space="0" w:color="auto"/>
              <w:left w:val="single" w:sz="8" w:space="0" w:color="auto"/>
              <w:bottom w:val="nil"/>
              <w:right w:val="single" w:sz="8" w:space="0" w:color="auto"/>
            </w:tcBorders>
            <w:shd w:val="clear" w:color="auto" w:fill="auto"/>
            <w:noWrap/>
            <w:vAlign w:val="bottom"/>
            <w:hideMark/>
          </w:tcPr>
          <w:p w14:paraId="2DF69509" w14:textId="50B903B8"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w:t>
            </w:r>
            <w:r w:rsidR="00297425">
              <w:rPr>
                <w:rFonts w:ascii="Arial Narrow" w:hAnsi="Arial Narrow"/>
                <w:b/>
                <w:sz w:val="20"/>
              </w:rPr>
              <w:t xml:space="preserve">CATEGORIA DE </w:t>
            </w:r>
            <w:r>
              <w:rPr>
                <w:rFonts w:ascii="Arial Narrow" w:hAnsi="Arial Narrow"/>
                <w:b/>
                <w:sz w:val="20"/>
              </w:rPr>
              <w:t xml:space="preserve">DESPESAS/RECEITAS </w:t>
            </w:r>
          </w:p>
        </w:tc>
        <w:tc>
          <w:tcPr>
            <w:tcW w:w="1480" w:type="dxa"/>
            <w:tcBorders>
              <w:top w:val="single" w:sz="8" w:space="0" w:color="auto"/>
              <w:left w:val="single" w:sz="8" w:space="0" w:color="auto"/>
              <w:bottom w:val="nil"/>
              <w:right w:val="single" w:sz="8" w:space="0" w:color="auto"/>
            </w:tcBorders>
            <w:shd w:val="clear" w:color="auto" w:fill="auto"/>
            <w:noWrap/>
            <w:vAlign w:val="bottom"/>
            <w:hideMark/>
          </w:tcPr>
          <w:p w14:paraId="67C05874" w14:textId="5397A83C"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w:t>
            </w:r>
            <w:r w:rsidR="00297425">
              <w:rPr>
                <w:rFonts w:ascii="Arial Narrow" w:hAnsi="Arial Narrow"/>
                <w:b/>
                <w:sz w:val="20"/>
              </w:rPr>
              <w:t xml:space="preserve">ORÇAMENTO </w:t>
            </w:r>
            <w:r>
              <w:rPr>
                <w:rFonts w:ascii="Arial Narrow" w:hAnsi="Arial Narrow"/>
                <w:b/>
                <w:sz w:val="20"/>
              </w:rPr>
              <w:t xml:space="preserve">ACTUAL </w:t>
            </w:r>
          </w:p>
        </w:tc>
        <w:tc>
          <w:tcPr>
            <w:tcW w:w="1180" w:type="dxa"/>
            <w:tcBorders>
              <w:top w:val="single" w:sz="8" w:space="0" w:color="auto"/>
              <w:left w:val="nil"/>
              <w:bottom w:val="nil"/>
              <w:right w:val="single" w:sz="8" w:space="0" w:color="auto"/>
            </w:tcBorders>
            <w:shd w:val="clear" w:color="auto" w:fill="auto"/>
            <w:noWrap/>
            <w:vAlign w:val="bottom"/>
            <w:hideMark/>
          </w:tcPr>
          <w:p w14:paraId="590E4057" w14:textId="160F2014"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PROPOSTA</w:t>
            </w:r>
            <w:r w:rsidR="00297425">
              <w:rPr>
                <w:rFonts w:ascii="Arial Narrow" w:hAnsi="Arial Narrow"/>
                <w:b/>
                <w:sz w:val="20"/>
              </w:rPr>
              <w:t xml:space="preserve"> DO</w:t>
            </w:r>
            <w:r>
              <w:rPr>
                <w:rFonts w:ascii="Arial Narrow" w:hAnsi="Arial Narrow"/>
                <w:b/>
                <w:sz w:val="20"/>
              </w:rPr>
              <w:t xml:space="preserve"> </w:t>
            </w:r>
          </w:p>
        </w:tc>
        <w:tc>
          <w:tcPr>
            <w:tcW w:w="1180" w:type="dxa"/>
            <w:tcBorders>
              <w:top w:val="single" w:sz="8" w:space="0" w:color="auto"/>
              <w:left w:val="nil"/>
              <w:bottom w:val="nil"/>
              <w:right w:val="single" w:sz="8" w:space="0" w:color="auto"/>
            </w:tcBorders>
            <w:shd w:val="clear" w:color="auto" w:fill="auto"/>
            <w:noWrap/>
            <w:vAlign w:val="bottom"/>
            <w:hideMark/>
          </w:tcPr>
          <w:p w14:paraId="12C74085"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AUMENTO/ </w:t>
            </w:r>
          </w:p>
        </w:tc>
        <w:tc>
          <w:tcPr>
            <w:tcW w:w="1041" w:type="dxa"/>
            <w:tcBorders>
              <w:top w:val="single" w:sz="8" w:space="0" w:color="auto"/>
              <w:left w:val="nil"/>
              <w:bottom w:val="nil"/>
              <w:right w:val="single" w:sz="8" w:space="0" w:color="auto"/>
            </w:tcBorders>
            <w:shd w:val="clear" w:color="auto" w:fill="auto"/>
            <w:noWrap/>
            <w:vAlign w:val="bottom"/>
            <w:hideMark/>
          </w:tcPr>
          <w:p w14:paraId="0102EBE9"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AUMENTO/ </w:t>
            </w:r>
          </w:p>
        </w:tc>
      </w:tr>
      <w:tr w:rsidR="00077EA8" w:rsidRPr="00077EA8" w14:paraId="355888B0" w14:textId="77777777" w:rsidTr="00077EA8">
        <w:trPr>
          <w:trHeight w:val="288"/>
        </w:trPr>
        <w:tc>
          <w:tcPr>
            <w:tcW w:w="628" w:type="dxa"/>
            <w:tcBorders>
              <w:top w:val="nil"/>
              <w:left w:val="single" w:sz="8" w:space="0" w:color="auto"/>
              <w:bottom w:val="nil"/>
              <w:right w:val="nil"/>
            </w:tcBorders>
            <w:shd w:val="clear" w:color="auto" w:fill="auto"/>
            <w:noWrap/>
            <w:vAlign w:val="bottom"/>
            <w:hideMark/>
          </w:tcPr>
          <w:p w14:paraId="56618B8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N.º </w:t>
            </w:r>
          </w:p>
        </w:tc>
        <w:tc>
          <w:tcPr>
            <w:tcW w:w="4012" w:type="dxa"/>
            <w:tcBorders>
              <w:top w:val="nil"/>
              <w:left w:val="single" w:sz="8" w:space="0" w:color="auto"/>
              <w:bottom w:val="nil"/>
              <w:right w:val="single" w:sz="8" w:space="0" w:color="auto"/>
            </w:tcBorders>
            <w:shd w:val="clear" w:color="auto" w:fill="auto"/>
            <w:noWrap/>
            <w:vAlign w:val="bottom"/>
            <w:hideMark/>
          </w:tcPr>
          <w:p w14:paraId="77319366" w14:textId="0B50694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w:t>
            </w:r>
          </w:p>
        </w:tc>
        <w:tc>
          <w:tcPr>
            <w:tcW w:w="1480" w:type="dxa"/>
            <w:tcBorders>
              <w:top w:val="nil"/>
              <w:left w:val="single" w:sz="8" w:space="0" w:color="auto"/>
              <w:bottom w:val="nil"/>
              <w:right w:val="single" w:sz="8" w:space="0" w:color="auto"/>
            </w:tcBorders>
            <w:shd w:val="clear" w:color="auto" w:fill="auto"/>
            <w:noWrap/>
            <w:vAlign w:val="bottom"/>
            <w:hideMark/>
          </w:tcPr>
          <w:p w14:paraId="43F0B175"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APROVADO</w:t>
            </w:r>
          </w:p>
        </w:tc>
        <w:tc>
          <w:tcPr>
            <w:tcW w:w="1180" w:type="dxa"/>
            <w:tcBorders>
              <w:top w:val="nil"/>
              <w:left w:val="nil"/>
              <w:bottom w:val="nil"/>
              <w:right w:val="single" w:sz="8" w:space="0" w:color="auto"/>
            </w:tcBorders>
            <w:shd w:val="clear" w:color="auto" w:fill="auto"/>
            <w:noWrap/>
            <w:vAlign w:val="bottom"/>
            <w:hideMark/>
          </w:tcPr>
          <w:p w14:paraId="2286A0A7" w14:textId="77777777" w:rsidR="00077EA8" w:rsidRDefault="00077EA8" w:rsidP="00077EA8">
            <w:pPr>
              <w:spacing w:after="0" w:line="240" w:lineRule="auto"/>
              <w:jc w:val="center"/>
              <w:rPr>
                <w:rFonts w:ascii="Arial Narrow" w:hAnsi="Arial Narrow"/>
                <w:b/>
                <w:sz w:val="20"/>
              </w:rPr>
            </w:pPr>
            <w:r>
              <w:rPr>
                <w:rFonts w:ascii="Arial Narrow" w:hAnsi="Arial Narrow"/>
                <w:b/>
                <w:sz w:val="20"/>
              </w:rPr>
              <w:t>ORÇAMENTO</w:t>
            </w:r>
          </w:p>
          <w:p w14:paraId="03D4A3A8" w14:textId="14B0998E" w:rsidR="00297425" w:rsidRPr="00077EA8" w:rsidRDefault="00297425" w:rsidP="00077EA8">
            <w:pPr>
              <w:spacing w:after="0" w:line="240" w:lineRule="auto"/>
              <w:jc w:val="center"/>
              <w:rPr>
                <w:rFonts w:ascii="Arial Narrow" w:eastAsia="Times New Roman" w:hAnsi="Arial Narrow" w:cs="Calibri"/>
                <w:b/>
                <w:bCs/>
                <w:sz w:val="20"/>
                <w:szCs w:val="20"/>
              </w:rPr>
            </w:pPr>
            <w:r>
              <w:rPr>
                <w:rFonts w:ascii="Arial Narrow" w:eastAsia="Times New Roman" w:hAnsi="Arial Narrow" w:cs="Calibri"/>
                <w:b/>
                <w:bCs/>
                <w:sz w:val="20"/>
                <w:szCs w:val="20"/>
              </w:rPr>
              <w:t>PARA</w:t>
            </w:r>
          </w:p>
        </w:tc>
        <w:tc>
          <w:tcPr>
            <w:tcW w:w="1180" w:type="dxa"/>
            <w:tcBorders>
              <w:top w:val="nil"/>
              <w:left w:val="nil"/>
              <w:bottom w:val="nil"/>
              <w:right w:val="single" w:sz="8" w:space="0" w:color="auto"/>
            </w:tcBorders>
            <w:shd w:val="clear" w:color="auto" w:fill="auto"/>
            <w:noWrap/>
            <w:vAlign w:val="bottom"/>
            <w:hideMark/>
          </w:tcPr>
          <w:p w14:paraId="0F9728D2"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(REDUÇÃO)</w:t>
            </w:r>
          </w:p>
        </w:tc>
        <w:tc>
          <w:tcPr>
            <w:tcW w:w="1041" w:type="dxa"/>
            <w:tcBorders>
              <w:top w:val="nil"/>
              <w:left w:val="nil"/>
              <w:bottom w:val="nil"/>
              <w:right w:val="single" w:sz="8" w:space="0" w:color="auto"/>
            </w:tcBorders>
            <w:shd w:val="clear" w:color="auto" w:fill="auto"/>
            <w:noWrap/>
            <w:vAlign w:val="bottom"/>
            <w:hideMark/>
          </w:tcPr>
          <w:p w14:paraId="3505AA06"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(REDUÇÃO)</w:t>
            </w:r>
          </w:p>
        </w:tc>
      </w:tr>
      <w:tr w:rsidR="00077EA8" w:rsidRPr="00077EA8" w14:paraId="117F6F21" w14:textId="77777777" w:rsidTr="00077EA8">
        <w:trPr>
          <w:trHeight w:val="288"/>
        </w:trPr>
        <w:tc>
          <w:tcPr>
            <w:tcW w:w="628" w:type="dxa"/>
            <w:tcBorders>
              <w:top w:val="nil"/>
              <w:left w:val="single" w:sz="8" w:space="0" w:color="auto"/>
              <w:bottom w:val="nil"/>
              <w:right w:val="nil"/>
            </w:tcBorders>
            <w:shd w:val="clear" w:color="auto" w:fill="auto"/>
            <w:noWrap/>
            <w:vAlign w:val="bottom"/>
            <w:hideMark/>
          </w:tcPr>
          <w:p w14:paraId="20809FFB"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4012" w:type="dxa"/>
            <w:tcBorders>
              <w:top w:val="nil"/>
              <w:left w:val="single" w:sz="8" w:space="0" w:color="auto"/>
              <w:bottom w:val="nil"/>
              <w:right w:val="single" w:sz="8" w:space="0" w:color="auto"/>
            </w:tcBorders>
            <w:shd w:val="clear" w:color="auto" w:fill="auto"/>
            <w:noWrap/>
            <w:vAlign w:val="bottom"/>
            <w:hideMark/>
          </w:tcPr>
          <w:p w14:paraId="0186241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nil"/>
              <w:right w:val="single" w:sz="8" w:space="0" w:color="auto"/>
            </w:tcBorders>
            <w:shd w:val="clear" w:color="auto" w:fill="auto"/>
            <w:noWrap/>
            <w:vAlign w:val="bottom"/>
            <w:hideMark/>
          </w:tcPr>
          <w:p w14:paraId="12228FBF" w14:textId="462BA7B5" w:rsidR="00077EA8" w:rsidRPr="00077EA8" w:rsidRDefault="00077EA8" w:rsidP="00077EA8">
            <w:pPr>
              <w:spacing w:after="0" w:line="240" w:lineRule="auto"/>
              <w:jc w:val="center"/>
              <w:rPr>
                <w:rFonts w:ascii="Arial Narrow" w:eastAsia="Times New Roman" w:hAnsi="Arial Narrow" w:cs="Calibri"/>
                <w:b/>
                <w:bCs/>
                <w:sz w:val="20"/>
                <w:szCs w:val="20"/>
              </w:rPr>
            </w:pPr>
          </w:p>
        </w:tc>
        <w:tc>
          <w:tcPr>
            <w:tcW w:w="1180" w:type="dxa"/>
            <w:tcBorders>
              <w:top w:val="nil"/>
              <w:left w:val="nil"/>
              <w:bottom w:val="nil"/>
              <w:right w:val="single" w:sz="8" w:space="0" w:color="auto"/>
            </w:tcBorders>
            <w:shd w:val="clear" w:color="auto" w:fill="auto"/>
            <w:noWrap/>
            <w:vAlign w:val="bottom"/>
            <w:hideMark/>
          </w:tcPr>
          <w:p w14:paraId="52F1579F" w14:textId="55FF947B" w:rsidR="00077EA8" w:rsidRPr="00077EA8" w:rsidRDefault="00077EA8" w:rsidP="00297425">
            <w:pPr>
              <w:spacing w:after="0" w:line="240" w:lineRule="auto"/>
              <w:rPr>
                <w:rFonts w:ascii="Arial Narrow" w:eastAsia="Times New Roman" w:hAnsi="Arial Narrow" w:cs="Calibri"/>
                <w:b/>
                <w:bCs/>
                <w:sz w:val="20"/>
                <w:szCs w:val="20"/>
              </w:rPr>
            </w:pPr>
          </w:p>
        </w:tc>
        <w:tc>
          <w:tcPr>
            <w:tcW w:w="1180" w:type="dxa"/>
            <w:tcBorders>
              <w:top w:val="nil"/>
              <w:left w:val="nil"/>
              <w:bottom w:val="nil"/>
              <w:right w:val="single" w:sz="8" w:space="0" w:color="auto"/>
            </w:tcBorders>
            <w:shd w:val="clear" w:color="auto" w:fill="auto"/>
            <w:noWrap/>
            <w:vAlign w:val="bottom"/>
            <w:hideMark/>
          </w:tcPr>
          <w:p w14:paraId="0FBB4DD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041" w:type="dxa"/>
            <w:tcBorders>
              <w:top w:val="nil"/>
              <w:left w:val="nil"/>
              <w:bottom w:val="nil"/>
              <w:right w:val="single" w:sz="8" w:space="0" w:color="auto"/>
            </w:tcBorders>
            <w:shd w:val="clear" w:color="auto" w:fill="auto"/>
            <w:noWrap/>
            <w:vAlign w:val="bottom"/>
            <w:hideMark/>
          </w:tcPr>
          <w:p w14:paraId="1FA4D4AB"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077EA8" w:rsidRPr="00077EA8" w14:paraId="7424ADCF" w14:textId="77777777" w:rsidTr="00077EA8">
        <w:trPr>
          <w:trHeight w:val="288"/>
        </w:trPr>
        <w:tc>
          <w:tcPr>
            <w:tcW w:w="628" w:type="dxa"/>
            <w:tcBorders>
              <w:top w:val="nil"/>
              <w:left w:val="single" w:sz="8" w:space="0" w:color="auto"/>
              <w:bottom w:val="nil"/>
              <w:right w:val="nil"/>
            </w:tcBorders>
            <w:shd w:val="clear" w:color="auto" w:fill="auto"/>
            <w:noWrap/>
            <w:vAlign w:val="bottom"/>
            <w:hideMark/>
          </w:tcPr>
          <w:p w14:paraId="60D6F1A5"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4012" w:type="dxa"/>
            <w:tcBorders>
              <w:top w:val="nil"/>
              <w:left w:val="single" w:sz="8" w:space="0" w:color="auto"/>
              <w:bottom w:val="nil"/>
              <w:right w:val="single" w:sz="8" w:space="0" w:color="auto"/>
            </w:tcBorders>
            <w:shd w:val="clear" w:color="auto" w:fill="auto"/>
            <w:noWrap/>
            <w:vAlign w:val="bottom"/>
            <w:hideMark/>
          </w:tcPr>
          <w:p w14:paraId="31012AAC"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nil"/>
              <w:right w:val="single" w:sz="8" w:space="0" w:color="auto"/>
            </w:tcBorders>
            <w:shd w:val="clear" w:color="auto" w:fill="auto"/>
            <w:noWrap/>
            <w:vAlign w:val="bottom"/>
            <w:hideMark/>
          </w:tcPr>
          <w:p w14:paraId="14CED943"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2022-2023</w:t>
            </w:r>
          </w:p>
        </w:tc>
        <w:tc>
          <w:tcPr>
            <w:tcW w:w="1180" w:type="dxa"/>
            <w:tcBorders>
              <w:top w:val="nil"/>
              <w:left w:val="nil"/>
              <w:bottom w:val="nil"/>
              <w:right w:val="single" w:sz="8" w:space="0" w:color="auto"/>
            </w:tcBorders>
            <w:shd w:val="clear" w:color="auto" w:fill="auto"/>
            <w:noWrap/>
            <w:vAlign w:val="bottom"/>
            <w:hideMark/>
          </w:tcPr>
          <w:p w14:paraId="5E718B79"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2023-2024</w:t>
            </w:r>
          </w:p>
        </w:tc>
        <w:tc>
          <w:tcPr>
            <w:tcW w:w="1180" w:type="dxa"/>
            <w:tcBorders>
              <w:top w:val="nil"/>
              <w:left w:val="nil"/>
              <w:bottom w:val="nil"/>
              <w:right w:val="single" w:sz="8" w:space="0" w:color="auto"/>
            </w:tcBorders>
            <w:shd w:val="clear" w:color="auto" w:fill="auto"/>
            <w:noWrap/>
            <w:vAlign w:val="bottom"/>
            <w:hideMark/>
          </w:tcPr>
          <w:p w14:paraId="45007A46"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1041" w:type="dxa"/>
            <w:tcBorders>
              <w:top w:val="nil"/>
              <w:left w:val="nil"/>
              <w:bottom w:val="nil"/>
              <w:right w:val="single" w:sz="8" w:space="0" w:color="auto"/>
            </w:tcBorders>
            <w:shd w:val="clear" w:color="auto" w:fill="auto"/>
            <w:noWrap/>
            <w:vAlign w:val="bottom"/>
            <w:hideMark/>
          </w:tcPr>
          <w:p w14:paraId="3E5F96B0"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r>
      <w:tr w:rsidR="00077EA8" w:rsidRPr="00077EA8" w14:paraId="416B15DD" w14:textId="77777777" w:rsidTr="00077EA8">
        <w:trPr>
          <w:trHeight w:val="288"/>
        </w:trPr>
        <w:tc>
          <w:tcPr>
            <w:tcW w:w="628" w:type="dxa"/>
            <w:tcBorders>
              <w:top w:val="nil"/>
              <w:left w:val="single" w:sz="8" w:space="0" w:color="auto"/>
              <w:bottom w:val="single" w:sz="8" w:space="0" w:color="auto"/>
              <w:right w:val="nil"/>
            </w:tcBorders>
            <w:shd w:val="clear" w:color="auto" w:fill="auto"/>
            <w:noWrap/>
            <w:vAlign w:val="bottom"/>
            <w:hideMark/>
          </w:tcPr>
          <w:p w14:paraId="3E2CD02A"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4012" w:type="dxa"/>
            <w:tcBorders>
              <w:top w:val="nil"/>
              <w:left w:val="single" w:sz="8" w:space="0" w:color="auto"/>
              <w:bottom w:val="single" w:sz="8" w:space="0" w:color="auto"/>
              <w:right w:val="single" w:sz="8" w:space="0" w:color="auto"/>
            </w:tcBorders>
            <w:shd w:val="clear" w:color="auto" w:fill="auto"/>
            <w:noWrap/>
            <w:vAlign w:val="bottom"/>
            <w:hideMark/>
          </w:tcPr>
          <w:p w14:paraId="583ABFBC"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14:paraId="60DA7F63"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80" w:type="dxa"/>
            <w:tcBorders>
              <w:top w:val="nil"/>
              <w:left w:val="nil"/>
              <w:bottom w:val="single" w:sz="8" w:space="0" w:color="auto"/>
              <w:right w:val="single" w:sz="8" w:space="0" w:color="auto"/>
            </w:tcBorders>
            <w:shd w:val="clear" w:color="auto" w:fill="auto"/>
            <w:noWrap/>
            <w:vAlign w:val="bottom"/>
            <w:hideMark/>
          </w:tcPr>
          <w:p w14:paraId="3955EEFA"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180" w:type="dxa"/>
            <w:tcBorders>
              <w:top w:val="nil"/>
              <w:left w:val="nil"/>
              <w:bottom w:val="single" w:sz="8" w:space="0" w:color="auto"/>
              <w:right w:val="single" w:sz="8" w:space="0" w:color="auto"/>
            </w:tcBorders>
            <w:shd w:val="clear" w:color="auto" w:fill="auto"/>
            <w:noWrap/>
            <w:vAlign w:val="bottom"/>
            <w:hideMark/>
          </w:tcPr>
          <w:p w14:paraId="30BDC9E2"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N$ </w:t>
            </w:r>
          </w:p>
        </w:tc>
        <w:tc>
          <w:tcPr>
            <w:tcW w:w="1041" w:type="dxa"/>
            <w:tcBorders>
              <w:top w:val="nil"/>
              <w:left w:val="nil"/>
              <w:bottom w:val="single" w:sz="8" w:space="0" w:color="auto"/>
              <w:right w:val="single" w:sz="8" w:space="0" w:color="auto"/>
            </w:tcBorders>
            <w:shd w:val="clear" w:color="auto" w:fill="auto"/>
            <w:noWrap/>
            <w:vAlign w:val="bottom"/>
            <w:hideMark/>
          </w:tcPr>
          <w:p w14:paraId="7BF6AD81"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xml:space="preserve"> % </w:t>
            </w:r>
          </w:p>
        </w:tc>
      </w:tr>
      <w:tr w:rsidR="00077EA8" w:rsidRPr="00077EA8" w14:paraId="57AB05C9" w14:textId="77777777" w:rsidTr="00077EA8">
        <w:trPr>
          <w:trHeight w:val="288"/>
        </w:trPr>
        <w:tc>
          <w:tcPr>
            <w:tcW w:w="628" w:type="dxa"/>
            <w:tcBorders>
              <w:top w:val="single" w:sz="4" w:space="0" w:color="FF0000"/>
              <w:left w:val="single" w:sz="8" w:space="0" w:color="auto"/>
              <w:bottom w:val="single" w:sz="4" w:space="0" w:color="FF0000"/>
              <w:right w:val="nil"/>
            </w:tcBorders>
            <w:shd w:val="clear" w:color="auto" w:fill="auto"/>
            <w:noWrap/>
            <w:vAlign w:val="bottom"/>
            <w:hideMark/>
          </w:tcPr>
          <w:p w14:paraId="44329D9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 </w:t>
            </w:r>
          </w:p>
        </w:tc>
        <w:tc>
          <w:tcPr>
            <w:tcW w:w="4012" w:type="dxa"/>
            <w:tcBorders>
              <w:top w:val="single" w:sz="4" w:space="0" w:color="FF0000"/>
              <w:left w:val="single" w:sz="8" w:space="0" w:color="auto"/>
              <w:bottom w:val="single" w:sz="4" w:space="0" w:color="FF0000"/>
              <w:right w:val="single" w:sz="8" w:space="0" w:color="auto"/>
            </w:tcBorders>
            <w:shd w:val="clear" w:color="auto" w:fill="auto"/>
            <w:noWrap/>
            <w:vAlign w:val="bottom"/>
            <w:hideMark/>
          </w:tcPr>
          <w:p w14:paraId="64D5AA89"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DESPESAS OPERACIONAIS DIRECTAS </w:t>
            </w:r>
          </w:p>
        </w:tc>
        <w:tc>
          <w:tcPr>
            <w:tcW w:w="1480" w:type="dxa"/>
            <w:tcBorders>
              <w:top w:val="single" w:sz="4" w:space="0" w:color="FF0000"/>
              <w:left w:val="nil"/>
              <w:bottom w:val="single" w:sz="4" w:space="0" w:color="FF0000"/>
              <w:right w:val="single" w:sz="8" w:space="0" w:color="auto"/>
            </w:tcBorders>
            <w:shd w:val="clear" w:color="auto" w:fill="auto"/>
            <w:noWrap/>
            <w:vAlign w:val="bottom"/>
            <w:hideMark/>
          </w:tcPr>
          <w:p w14:paraId="73FC3870"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4.301.600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2E0E056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6.460.200 </w:t>
            </w:r>
          </w:p>
        </w:tc>
        <w:tc>
          <w:tcPr>
            <w:tcW w:w="1180" w:type="dxa"/>
            <w:tcBorders>
              <w:top w:val="single" w:sz="4" w:space="0" w:color="FF0000"/>
              <w:left w:val="nil"/>
              <w:bottom w:val="single" w:sz="4" w:space="0" w:color="FF0000"/>
              <w:right w:val="single" w:sz="8" w:space="0" w:color="auto"/>
            </w:tcBorders>
            <w:shd w:val="clear" w:color="auto" w:fill="auto"/>
            <w:noWrap/>
            <w:vAlign w:val="bottom"/>
            <w:hideMark/>
          </w:tcPr>
          <w:p w14:paraId="6AF1ABF6"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2.158.600 </w:t>
            </w:r>
          </w:p>
        </w:tc>
        <w:tc>
          <w:tcPr>
            <w:tcW w:w="1041" w:type="dxa"/>
            <w:tcBorders>
              <w:top w:val="single" w:sz="4" w:space="0" w:color="FF0000"/>
              <w:left w:val="nil"/>
              <w:bottom w:val="single" w:sz="4" w:space="0" w:color="FF0000"/>
              <w:right w:val="single" w:sz="8" w:space="0" w:color="auto"/>
            </w:tcBorders>
            <w:shd w:val="clear" w:color="auto" w:fill="auto"/>
            <w:noWrap/>
            <w:vAlign w:val="bottom"/>
            <w:hideMark/>
          </w:tcPr>
          <w:p w14:paraId="545EE604" w14:textId="77777777" w:rsidR="00077EA8" w:rsidRPr="00077EA8" w:rsidRDefault="00077EA8" w:rsidP="00077EA8">
            <w:pPr>
              <w:spacing w:after="0" w:line="240" w:lineRule="auto"/>
              <w:jc w:val="right"/>
              <w:rPr>
                <w:rFonts w:ascii="Arial Narrow" w:eastAsia="Times New Roman" w:hAnsi="Arial Narrow" w:cs="Calibri"/>
                <w:b/>
                <w:bCs/>
                <w:sz w:val="20"/>
                <w:szCs w:val="20"/>
              </w:rPr>
            </w:pPr>
            <w:r>
              <w:rPr>
                <w:rFonts w:ascii="Arial Narrow" w:hAnsi="Arial Narrow"/>
                <w:b/>
                <w:sz w:val="20"/>
              </w:rPr>
              <w:t>50%</w:t>
            </w:r>
          </w:p>
        </w:tc>
      </w:tr>
      <w:tr w:rsidR="00077EA8" w:rsidRPr="00077EA8" w14:paraId="12B1DC31" w14:textId="77777777" w:rsidTr="00077EA8">
        <w:trPr>
          <w:trHeight w:val="288"/>
        </w:trPr>
        <w:tc>
          <w:tcPr>
            <w:tcW w:w="628" w:type="dxa"/>
            <w:tcBorders>
              <w:top w:val="dashed" w:sz="4" w:space="0" w:color="auto"/>
              <w:left w:val="single" w:sz="8" w:space="0" w:color="auto"/>
              <w:bottom w:val="nil"/>
              <w:right w:val="nil"/>
            </w:tcBorders>
            <w:shd w:val="clear" w:color="auto" w:fill="auto"/>
            <w:noWrap/>
            <w:vAlign w:val="bottom"/>
            <w:hideMark/>
          </w:tcPr>
          <w:p w14:paraId="5709E428"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10</w:t>
            </w:r>
          </w:p>
        </w:tc>
        <w:tc>
          <w:tcPr>
            <w:tcW w:w="4012" w:type="dxa"/>
            <w:tcBorders>
              <w:top w:val="dashed" w:sz="4" w:space="0" w:color="auto"/>
              <w:left w:val="single" w:sz="8" w:space="0" w:color="auto"/>
              <w:bottom w:val="dashed" w:sz="4" w:space="0" w:color="auto"/>
              <w:right w:val="single" w:sz="8" w:space="0" w:color="auto"/>
            </w:tcBorders>
            <w:shd w:val="clear" w:color="auto" w:fill="auto"/>
            <w:noWrap/>
            <w:vAlign w:val="bottom"/>
            <w:hideMark/>
          </w:tcPr>
          <w:p w14:paraId="3182C13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Reuniões da Assembleia Plenária </w:t>
            </w:r>
          </w:p>
        </w:tc>
        <w:tc>
          <w:tcPr>
            <w:tcW w:w="1480" w:type="dxa"/>
            <w:tcBorders>
              <w:top w:val="dotted" w:sz="4" w:space="0" w:color="auto"/>
              <w:left w:val="nil"/>
              <w:bottom w:val="dotted" w:sz="4" w:space="0" w:color="auto"/>
              <w:right w:val="single" w:sz="8" w:space="0" w:color="auto"/>
            </w:tcBorders>
            <w:shd w:val="clear" w:color="auto" w:fill="auto"/>
            <w:noWrap/>
            <w:vAlign w:val="bottom"/>
            <w:hideMark/>
          </w:tcPr>
          <w:p w14:paraId="003AA63C"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2.164.600 </w:t>
            </w:r>
          </w:p>
        </w:tc>
        <w:tc>
          <w:tcPr>
            <w:tcW w:w="1180" w:type="dxa"/>
            <w:tcBorders>
              <w:top w:val="dotted" w:sz="4" w:space="0" w:color="auto"/>
              <w:left w:val="nil"/>
              <w:bottom w:val="dotted" w:sz="4" w:space="0" w:color="auto"/>
              <w:right w:val="single" w:sz="8" w:space="0" w:color="auto"/>
            </w:tcBorders>
            <w:shd w:val="clear" w:color="auto" w:fill="auto"/>
            <w:noWrap/>
            <w:vAlign w:val="bottom"/>
            <w:hideMark/>
          </w:tcPr>
          <w:p w14:paraId="65080411"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3.068.000 </w:t>
            </w:r>
          </w:p>
        </w:tc>
        <w:tc>
          <w:tcPr>
            <w:tcW w:w="1180" w:type="dxa"/>
            <w:tcBorders>
              <w:top w:val="dotted" w:sz="4" w:space="0" w:color="auto"/>
              <w:left w:val="nil"/>
              <w:bottom w:val="dotted" w:sz="4" w:space="0" w:color="auto"/>
              <w:right w:val="single" w:sz="8" w:space="0" w:color="auto"/>
            </w:tcBorders>
            <w:shd w:val="clear" w:color="auto" w:fill="auto"/>
            <w:noWrap/>
            <w:vAlign w:val="bottom"/>
            <w:hideMark/>
          </w:tcPr>
          <w:p w14:paraId="7F90E9D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903.400 </w:t>
            </w:r>
          </w:p>
        </w:tc>
        <w:tc>
          <w:tcPr>
            <w:tcW w:w="1041" w:type="dxa"/>
            <w:tcBorders>
              <w:top w:val="dotted" w:sz="4" w:space="0" w:color="auto"/>
              <w:left w:val="nil"/>
              <w:bottom w:val="dotted" w:sz="4" w:space="0" w:color="auto"/>
              <w:right w:val="single" w:sz="8" w:space="0" w:color="auto"/>
            </w:tcBorders>
            <w:shd w:val="clear" w:color="auto" w:fill="auto"/>
            <w:noWrap/>
            <w:vAlign w:val="bottom"/>
            <w:hideMark/>
          </w:tcPr>
          <w:p w14:paraId="75673038"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42%</w:t>
            </w:r>
          </w:p>
        </w:tc>
      </w:tr>
      <w:tr w:rsidR="00077EA8" w:rsidRPr="00077EA8" w14:paraId="58717733" w14:textId="77777777" w:rsidTr="00077EA8">
        <w:trPr>
          <w:trHeight w:val="288"/>
        </w:trPr>
        <w:tc>
          <w:tcPr>
            <w:tcW w:w="628" w:type="dxa"/>
            <w:tcBorders>
              <w:top w:val="dashed" w:sz="4" w:space="0" w:color="auto"/>
              <w:left w:val="single" w:sz="8" w:space="0" w:color="auto"/>
              <w:bottom w:val="dashed" w:sz="4" w:space="0" w:color="auto"/>
              <w:right w:val="nil"/>
            </w:tcBorders>
            <w:shd w:val="clear" w:color="auto" w:fill="auto"/>
            <w:noWrap/>
            <w:vAlign w:val="bottom"/>
            <w:hideMark/>
          </w:tcPr>
          <w:p w14:paraId="4C59036A"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11</w:t>
            </w:r>
          </w:p>
        </w:tc>
        <w:tc>
          <w:tcPr>
            <w:tcW w:w="4012" w:type="dxa"/>
            <w:tcBorders>
              <w:top w:val="nil"/>
              <w:left w:val="single" w:sz="8" w:space="0" w:color="auto"/>
              <w:bottom w:val="dashed" w:sz="4" w:space="0" w:color="auto"/>
              <w:right w:val="single" w:sz="8" w:space="0" w:color="auto"/>
            </w:tcBorders>
            <w:shd w:val="clear" w:color="auto" w:fill="auto"/>
            <w:noWrap/>
            <w:vAlign w:val="bottom"/>
            <w:hideMark/>
          </w:tcPr>
          <w:p w14:paraId="0DE4DB8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Reuniões da Comissão Executiva </w:t>
            </w:r>
          </w:p>
        </w:tc>
        <w:tc>
          <w:tcPr>
            <w:tcW w:w="1480" w:type="dxa"/>
            <w:tcBorders>
              <w:top w:val="nil"/>
              <w:left w:val="nil"/>
              <w:bottom w:val="dotted" w:sz="4" w:space="0" w:color="auto"/>
              <w:right w:val="single" w:sz="8" w:space="0" w:color="auto"/>
            </w:tcBorders>
            <w:shd w:val="clear" w:color="auto" w:fill="auto"/>
            <w:noWrap/>
            <w:vAlign w:val="bottom"/>
            <w:hideMark/>
          </w:tcPr>
          <w:p w14:paraId="1FC620E9"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453.200 </w:t>
            </w:r>
          </w:p>
        </w:tc>
        <w:tc>
          <w:tcPr>
            <w:tcW w:w="1180" w:type="dxa"/>
            <w:tcBorders>
              <w:top w:val="nil"/>
              <w:left w:val="nil"/>
              <w:bottom w:val="dotted" w:sz="4" w:space="0" w:color="auto"/>
              <w:right w:val="single" w:sz="8" w:space="0" w:color="auto"/>
            </w:tcBorders>
            <w:shd w:val="clear" w:color="auto" w:fill="auto"/>
            <w:noWrap/>
            <w:vAlign w:val="bottom"/>
            <w:hideMark/>
          </w:tcPr>
          <w:p w14:paraId="0EE948D7"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804.600 </w:t>
            </w:r>
          </w:p>
        </w:tc>
        <w:tc>
          <w:tcPr>
            <w:tcW w:w="1180" w:type="dxa"/>
            <w:tcBorders>
              <w:top w:val="nil"/>
              <w:left w:val="nil"/>
              <w:bottom w:val="dotted" w:sz="4" w:space="0" w:color="auto"/>
              <w:right w:val="single" w:sz="8" w:space="0" w:color="auto"/>
            </w:tcBorders>
            <w:shd w:val="clear" w:color="auto" w:fill="auto"/>
            <w:noWrap/>
            <w:vAlign w:val="bottom"/>
            <w:hideMark/>
          </w:tcPr>
          <w:p w14:paraId="269C0A71"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351.400 </w:t>
            </w:r>
          </w:p>
        </w:tc>
        <w:tc>
          <w:tcPr>
            <w:tcW w:w="1041" w:type="dxa"/>
            <w:tcBorders>
              <w:top w:val="nil"/>
              <w:left w:val="nil"/>
              <w:bottom w:val="dotted" w:sz="4" w:space="0" w:color="auto"/>
              <w:right w:val="single" w:sz="8" w:space="0" w:color="auto"/>
            </w:tcBorders>
            <w:shd w:val="clear" w:color="auto" w:fill="auto"/>
            <w:noWrap/>
            <w:vAlign w:val="bottom"/>
            <w:hideMark/>
          </w:tcPr>
          <w:p w14:paraId="4B495C94"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78%</w:t>
            </w:r>
          </w:p>
        </w:tc>
      </w:tr>
      <w:tr w:rsidR="00077EA8" w:rsidRPr="00077EA8" w14:paraId="515BF5EE" w14:textId="77777777" w:rsidTr="00077EA8">
        <w:trPr>
          <w:trHeight w:val="288"/>
        </w:trPr>
        <w:tc>
          <w:tcPr>
            <w:tcW w:w="628" w:type="dxa"/>
            <w:tcBorders>
              <w:top w:val="nil"/>
              <w:left w:val="single" w:sz="8" w:space="0" w:color="auto"/>
              <w:bottom w:val="dashed" w:sz="4" w:space="0" w:color="auto"/>
              <w:right w:val="nil"/>
            </w:tcBorders>
            <w:shd w:val="clear" w:color="auto" w:fill="auto"/>
            <w:noWrap/>
            <w:vAlign w:val="bottom"/>
            <w:hideMark/>
          </w:tcPr>
          <w:p w14:paraId="13F6CCC7"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12</w:t>
            </w:r>
          </w:p>
        </w:tc>
        <w:tc>
          <w:tcPr>
            <w:tcW w:w="4012" w:type="dxa"/>
            <w:tcBorders>
              <w:top w:val="nil"/>
              <w:left w:val="single" w:sz="8" w:space="0" w:color="auto"/>
              <w:bottom w:val="dashed" w:sz="4" w:space="0" w:color="auto"/>
              <w:right w:val="single" w:sz="8" w:space="0" w:color="auto"/>
            </w:tcBorders>
            <w:shd w:val="clear" w:color="auto" w:fill="auto"/>
            <w:noWrap/>
            <w:vAlign w:val="bottom"/>
            <w:hideMark/>
          </w:tcPr>
          <w:p w14:paraId="7E1A9B52"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Reuniões da Subcomissão dos Assuntos Parlamentares/Subcomissões da Comissão Executiva </w:t>
            </w:r>
          </w:p>
        </w:tc>
        <w:tc>
          <w:tcPr>
            <w:tcW w:w="1480" w:type="dxa"/>
            <w:tcBorders>
              <w:top w:val="nil"/>
              <w:left w:val="nil"/>
              <w:bottom w:val="dotted" w:sz="4" w:space="0" w:color="auto"/>
              <w:right w:val="single" w:sz="8" w:space="0" w:color="auto"/>
            </w:tcBorders>
            <w:shd w:val="clear" w:color="auto" w:fill="auto"/>
            <w:noWrap/>
            <w:vAlign w:val="bottom"/>
            <w:hideMark/>
          </w:tcPr>
          <w:p w14:paraId="5DC59F5C"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259.800 </w:t>
            </w:r>
          </w:p>
        </w:tc>
        <w:tc>
          <w:tcPr>
            <w:tcW w:w="1180" w:type="dxa"/>
            <w:tcBorders>
              <w:top w:val="nil"/>
              <w:left w:val="nil"/>
              <w:bottom w:val="dotted" w:sz="4" w:space="0" w:color="auto"/>
              <w:right w:val="single" w:sz="8" w:space="0" w:color="auto"/>
            </w:tcBorders>
            <w:shd w:val="clear" w:color="auto" w:fill="auto"/>
            <w:noWrap/>
            <w:vAlign w:val="bottom"/>
            <w:hideMark/>
          </w:tcPr>
          <w:p w14:paraId="017F6EF5"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235.600 </w:t>
            </w:r>
          </w:p>
        </w:tc>
        <w:tc>
          <w:tcPr>
            <w:tcW w:w="1180" w:type="dxa"/>
            <w:tcBorders>
              <w:top w:val="nil"/>
              <w:left w:val="nil"/>
              <w:bottom w:val="dotted" w:sz="4" w:space="0" w:color="auto"/>
              <w:right w:val="single" w:sz="8" w:space="0" w:color="auto"/>
            </w:tcBorders>
            <w:shd w:val="clear" w:color="auto" w:fill="auto"/>
            <w:noWrap/>
            <w:vAlign w:val="bottom"/>
            <w:hideMark/>
          </w:tcPr>
          <w:p w14:paraId="10D05B0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- 24.200 </w:t>
            </w:r>
          </w:p>
        </w:tc>
        <w:tc>
          <w:tcPr>
            <w:tcW w:w="1041" w:type="dxa"/>
            <w:tcBorders>
              <w:top w:val="nil"/>
              <w:left w:val="nil"/>
              <w:bottom w:val="dotted" w:sz="4" w:space="0" w:color="auto"/>
              <w:right w:val="single" w:sz="8" w:space="0" w:color="auto"/>
            </w:tcBorders>
            <w:shd w:val="clear" w:color="auto" w:fill="auto"/>
            <w:noWrap/>
            <w:vAlign w:val="bottom"/>
            <w:hideMark/>
          </w:tcPr>
          <w:p w14:paraId="244049CD"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-9%</w:t>
            </w:r>
          </w:p>
        </w:tc>
      </w:tr>
      <w:tr w:rsidR="00077EA8" w:rsidRPr="00077EA8" w14:paraId="2E1B7B2E" w14:textId="77777777" w:rsidTr="00077EA8">
        <w:trPr>
          <w:trHeight w:val="288"/>
        </w:trPr>
        <w:tc>
          <w:tcPr>
            <w:tcW w:w="628" w:type="dxa"/>
            <w:tcBorders>
              <w:top w:val="nil"/>
              <w:left w:val="single" w:sz="8" w:space="0" w:color="auto"/>
              <w:bottom w:val="dashed" w:sz="4" w:space="0" w:color="auto"/>
              <w:right w:val="nil"/>
            </w:tcBorders>
            <w:shd w:val="clear" w:color="auto" w:fill="auto"/>
            <w:noWrap/>
            <w:vAlign w:val="bottom"/>
            <w:hideMark/>
          </w:tcPr>
          <w:p w14:paraId="4FF69359"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13</w:t>
            </w:r>
          </w:p>
        </w:tc>
        <w:tc>
          <w:tcPr>
            <w:tcW w:w="4012" w:type="dxa"/>
            <w:tcBorders>
              <w:top w:val="nil"/>
              <w:left w:val="single" w:sz="8" w:space="0" w:color="auto"/>
              <w:bottom w:val="dashed" w:sz="4" w:space="0" w:color="auto"/>
              <w:right w:val="single" w:sz="8" w:space="0" w:color="auto"/>
            </w:tcBorders>
            <w:shd w:val="clear" w:color="auto" w:fill="auto"/>
            <w:noWrap/>
            <w:vAlign w:val="bottom"/>
            <w:hideMark/>
          </w:tcPr>
          <w:p w14:paraId="417FA46F"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Comissões permanentes </w:t>
            </w:r>
          </w:p>
        </w:tc>
        <w:tc>
          <w:tcPr>
            <w:tcW w:w="1480" w:type="dxa"/>
            <w:tcBorders>
              <w:top w:val="nil"/>
              <w:left w:val="nil"/>
              <w:bottom w:val="dotted" w:sz="4" w:space="0" w:color="auto"/>
              <w:right w:val="single" w:sz="8" w:space="0" w:color="auto"/>
            </w:tcBorders>
            <w:shd w:val="clear" w:color="auto" w:fill="auto"/>
            <w:noWrap/>
            <w:vAlign w:val="bottom"/>
            <w:hideMark/>
          </w:tcPr>
          <w:p w14:paraId="58D40DC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486.000 </w:t>
            </w:r>
          </w:p>
        </w:tc>
        <w:tc>
          <w:tcPr>
            <w:tcW w:w="1180" w:type="dxa"/>
            <w:tcBorders>
              <w:top w:val="nil"/>
              <w:left w:val="nil"/>
              <w:bottom w:val="dotted" w:sz="4" w:space="0" w:color="auto"/>
              <w:right w:val="single" w:sz="8" w:space="0" w:color="auto"/>
            </w:tcBorders>
            <w:shd w:val="clear" w:color="auto" w:fill="auto"/>
            <w:noWrap/>
            <w:vAlign w:val="bottom"/>
            <w:hideMark/>
          </w:tcPr>
          <w:p w14:paraId="5A20F111"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1.020.000 </w:t>
            </w:r>
          </w:p>
        </w:tc>
        <w:tc>
          <w:tcPr>
            <w:tcW w:w="1180" w:type="dxa"/>
            <w:tcBorders>
              <w:top w:val="nil"/>
              <w:left w:val="nil"/>
              <w:bottom w:val="dotted" w:sz="4" w:space="0" w:color="auto"/>
              <w:right w:val="single" w:sz="8" w:space="0" w:color="auto"/>
            </w:tcBorders>
            <w:shd w:val="clear" w:color="auto" w:fill="auto"/>
            <w:noWrap/>
            <w:vAlign w:val="bottom"/>
            <w:hideMark/>
          </w:tcPr>
          <w:p w14:paraId="3CCD035A"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534.000 </w:t>
            </w:r>
          </w:p>
        </w:tc>
        <w:tc>
          <w:tcPr>
            <w:tcW w:w="1041" w:type="dxa"/>
            <w:tcBorders>
              <w:top w:val="nil"/>
              <w:left w:val="nil"/>
              <w:bottom w:val="dotted" w:sz="4" w:space="0" w:color="auto"/>
              <w:right w:val="single" w:sz="8" w:space="0" w:color="auto"/>
            </w:tcBorders>
            <w:shd w:val="clear" w:color="auto" w:fill="auto"/>
            <w:noWrap/>
            <w:vAlign w:val="bottom"/>
            <w:hideMark/>
          </w:tcPr>
          <w:p w14:paraId="200655EF"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110%</w:t>
            </w:r>
          </w:p>
        </w:tc>
      </w:tr>
      <w:tr w:rsidR="00077EA8" w:rsidRPr="00077EA8" w14:paraId="382C20DA" w14:textId="77777777" w:rsidTr="00077EA8">
        <w:trPr>
          <w:trHeight w:val="300"/>
        </w:trPr>
        <w:tc>
          <w:tcPr>
            <w:tcW w:w="628" w:type="dxa"/>
            <w:tcBorders>
              <w:top w:val="nil"/>
              <w:left w:val="single" w:sz="8" w:space="0" w:color="auto"/>
              <w:bottom w:val="dashed" w:sz="4" w:space="0" w:color="auto"/>
              <w:right w:val="nil"/>
            </w:tcBorders>
            <w:shd w:val="clear" w:color="auto" w:fill="auto"/>
            <w:noWrap/>
            <w:vAlign w:val="bottom"/>
            <w:hideMark/>
          </w:tcPr>
          <w:p w14:paraId="6F5166E1"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14</w:t>
            </w:r>
          </w:p>
        </w:tc>
        <w:tc>
          <w:tcPr>
            <w:tcW w:w="4012" w:type="dxa"/>
            <w:tcBorders>
              <w:top w:val="nil"/>
              <w:left w:val="single" w:sz="8" w:space="0" w:color="auto"/>
              <w:bottom w:val="dashed" w:sz="4" w:space="0" w:color="auto"/>
              <w:right w:val="single" w:sz="8" w:space="0" w:color="auto"/>
            </w:tcBorders>
            <w:shd w:val="clear" w:color="auto" w:fill="auto"/>
            <w:noWrap/>
            <w:vAlign w:val="bottom"/>
            <w:hideMark/>
          </w:tcPr>
          <w:p w14:paraId="20E4B768"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Outros órgãos políticos/ RWPC, CPRFLM, CSG </w:t>
            </w:r>
          </w:p>
        </w:tc>
        <w:tc>
          <w:tcPr>
            <w:tcW w:w="1480" w:type="dxa"/>
            <w:tcBorders>
              <w:top w:val="nil"/>
              <w:left w:val="nil"/>
              <w:bottom w:val="dotted" w:sz="4" w:space="0" w:color="auto"/>
              <w:right w:val="single" w:sz="8" w:space="0" w:color="auto"/>
            </w:tcBorders>
            <w:shd w:val="clear" w:color="auto" w:fill="auto"/>
            <w:noWrap/>
            <w:vAlign w:val="bottom"/>
            <w:hideMark/>
          </w:tcPr>
          <w:p w14:paraId="015CD964"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86.500 </w:t>
            </w:r>
          </w:p>
        </w:tc>
        <w:tc>
          <w:tcPr>
            <w:tcW w:w="1180" w:type="dxa"/>
            <w:tcBorders>
              <w:top w:val="nil"/>
              <w:left w:val="nil"/>
              <w:bottom w:val="dotted" w:sz="4" w:space="0" w:color="auto"/>
              <w:right w:val="single" w:sz="8" w:space="0" w:color="auto"/>
            </w:tcBorders>
            <w:shd w:val="clear" w:color="auto" w:fill="auto"/>
            <w:noWrap/>
            <w:vAlign w:val="bottom"/>
            <w:hideMark/>
          </w:tcPr>
          <w:p w14:paraId="620C852D"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643.000 </w:t>
            </w:r>
          </w:p>
        </w:tc>
        <w:tc>
          <w:tcPr>
            <w:tcW w:w="1180" w:type="dxa"/>
            <w:tcBorders>
              <w:top w:val="nil"/>
              <w:left w:val="nil"/>
              <w:bottom w:val="dotted" w:sz="4" w:space="0" w:color="auto"/>
              <w:right w:val="single" w:sz="8" w:space="0" w:color="auto"/>
            </w:tcBorders>
            <w:shd w:val="clear" w:color="auto" w:fill="auto"/>
            <w:noWrap/>
            <w:vAlign w:val="bottom"/>
            <w:hideMark/>
          </w:tcPr>
          <w:p w14:paraId="155E03DE"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556.500 </w:t>
            </w:r>
          </w:p>
        </w:tc>
        <w:tc>
          <w:tcPr>
            <w:tcW w:w="1041" w:type="dxa"/>
            <w:tcBorders>
              <w:top w:val="nil"/>
              <w:left w:val="nil"/>
              <w:bottom w:val="dotted" w:sz="4" w:space="0" w:color="auto"/>
              <w:right w:val="single" w:sz="8" w:space="0" w:color="auto"/>
            </w:tcBorders>
            <w:shd w:val="clear" w:color="auto" w:fill="auto"/>
            <w:noWrap/>
            <w:vAlign w:val="bottom"/>
            <w:hideMark/>
          </w:tcPr>
          <w:p w14:paraId="52C70588"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643%</w:t>
            </w:r>
          </w:p>
        </w:tc>
      </w:tr>
      <w:tr w:rsidR="00077EA8" w:rsidRPr="00077EA8" w14:paraId="42383535" w14:textId="77777777" w:rsidTr="00077EA8">
        <w:trPr>
          <w:trHeight w:val="300"/>
        </w:trPr>
        <w:tc>
          <w:tcPr>
            <w:tcW w:w="628" w:type="dxa"/>
            <w:tcBorders>
              <w:top w:val="nil"/>
              <w:left w:val="single" w:sz="8" w:space="0" w:color="auto"/>
              <w:bottom w:val="dashed" w:sz="4" w:space="0" w:color="auto"/>
              <w:right w:val="nil"/>
            </w:tcBorders>
            <w:shd w:val="clear" w:color="auto" w:fill="auto"/>
            <w:noWrap/>
            <w:vAlign w:val="bottom"/>
            <w:hideMark/>
          </w:tcPr>
          <w:p w14:paraId="0FF51AF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15</w:t>
            </w:r>
          </w:p>
        </w:tc>
        <w:tc>
          <w:tcPr>
            <w:tcW w:w="4012" w:type="dxa"/>
            <w:tcBorders>
              <w:top w:val="nil"/>
              <w:left w:val="single" w:sz="8" w:space="0" w:color="auto"/>
              <w:bottom w:val="dashed" w:sz="4" w:space="0" w:color="auto"/>
              <w:right w:val="single" w:sz="8" w:space="0" w:color="auto"/>
            </w:tcBorders>
            <w:shd w:val="clear" w:color="auto" w:fill="auto"/>
            <w:noWrap/>
            <w:vAlign w:val="bottom"/>
            <w:hideMark/>
          </w:tcPr>
          <w:p w14:paraId="49196D45"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Custos de tradução </w:t>
            </w:r>
          </w:p>
        </w:tc>
        <w:tc>
          <w:tcPr>
            <w:tcW w:w="1480" w:type="dxa"/>
            <w:tcBorders>
              <w:top w:val="nil"/>
              <w:left w:val="nil"/>
              <w:bottom w:val="dotted" w:sz="4" w:space="0" w:color="auto"/>
              <w:right w:val="single" w:sz="8" w:space="0" w:color="auto"/>
            </w:tcBorders>
            <w:shd w:val="clear" w:color="auto" w:fill="auto"/>
            <w:noWrap/>
            <w:vAlign w:val="bottom"/>
            <w:hideMark/>
          </w:tcPr>
          <w:p w14:paraId="6F81D897"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250.000 </w:t>
            </w:r>
          </w:p>
        </w:tc>
        <w:tc>
          <w:tcPr>
            <w:tcW w:w="1180" w:type="dxa"/>
            <w:tcBorders>
              <w:top w:val="nil"/>
              <w:left w:val="nil"/>
              <w:bottom w:val="dotted" w:sz="4" w:space="0" w:color="auto"/>
              <w:right w:val="single" w:sz="8" w:space="0" w:color="auto"/>
            </w:tcBorders>
            <w:shd w:val="clear" w:color="auto" w:fill="auto"/>
            <w:noWrap/>
            <w:vAlign w:val="bottom"/>
            <w:hideMark/>
          </w:tcPr>
          <w:p w14:paraId="635F019A"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48.000 </w:t>
            </w:r>
          </w:p>
        </w:tc>
        <w:tc>
          <w:tcPr>
            <w:tcW w:w="1180" w:type="dxa"/>
            <w:tcBorders>
              <w:top w:val="nil"/>
              <w:left w:val="nil"/>
              <w:bottom w:val="dotted" w:sz="4" w:space="0" w:color="auto"/>
              <w:right w:val="single" w:sz="8" w:space="0" w:color="auto"/>
            </w:tcBorders>
            <w:shd w:val="clear" w:color="auto" w:fill="auto"/>
            <w:noWrap/>
            <w:vAlign w:val="bottom"/>
            <w:hideMark/>
          </w:tcPr>
          <w:p w14:paraId="4ECD6EC0"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202.000 </w:t>
            </w:r>
          </w:p>
        </w:tc>
        <w:tc>
          <w:tcPr>
            <w:tcW w:w="1041" w:type="dxa"/>
            <w:tcBorders>
              <w:top w:val="nil"/>
              <w:left w:val="nil"/>
              <w:bottom w:val="dotted" w:sz="4" w:space="0" w:color="auto"/>
              <w:right w:val="single" w:sz="8" w:space="0" w:color="auto"/>
            </w:tcBorders>
            <w:shd w:val="clear" w:color="auto" w:fill="auto"/>
            <w:noWrap/>
            <w:vAlign w:val="bottom"/>
            <w:hideMark/>
          </w:tcPr>
          <w:p w14:paraId="3A1E949E"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-81%</w:t>
            </w:r>
          </w:p>
        </w:tc>
      </w:tr>
      <w:tr w:rsidR="00077EA8" w:rsidRPr="00077EA8" w14:paraId="11891C28" w14:textId="77777777" w:rsidTr="00077EA8">
        <w:trPr>
          <w:trHeight w:val="300"/>
        </w:trPr>
        <w:tc>
          <w:tcPr>
            <w:tcW w:w="628" w:type="dxa"/>
            <w:tcBorders>
              <w:top w:val="nil"/>
              <w:left w:val="single" w:sz="8" w:space="0" w:color="auto"/>
              <w:bottom w:val="dashed" w:sz="4" w:space="0" w:color="auto"/>
              <w:right w:val="nil"/>
            </w:tcBorders>
            <w:shd w:val="clear" w:color="auto" w:fill="auto"/>
            <w:noWrap/>
            <w:vAlign w:val="bottom"/>
            <w:hideMark/>
          </w:tcPr>
          <w:p w14:paraId="015E1ADC"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16</w:t>
            </w:r>
          </w:p>
        </w:tc>
        <w:tc>
          <w:tcPr>
            <w:tcW w:w="4012" w:type="dxa"/>
            <w:tcBorders>
              <w:top w:val="nil"/>
              <w:left w:val="single" w:sz="8" w:space="0" w:color="auto"/>
              <w:bottom w:val="dashed" w:sz="4" w:space="0" w:color="auto"/>
              <w:right w:val="single" w:sz="8" w:space="0" w:color="auto"/>
            </w:tcBorders>
            <w:shd w:val="clear" w:color="auto" w:fill="auto"/>
            <w:noWrap/>
            <w:vAlign w:val="bottom"/>
            <w:hideMark/>
          </w:tcPr>
          <w:p w14:paraId="12390CEB"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Apoio aos programas </w:t>
            </w:r>
          </w:p>
        </w:tc>
        <w:tc>
          <w:tcPr>
            <w:tcW w:w="1480" w:type="dxa"/>
            <w:tcBorders>
              <w:top w:val="nil"/>
              <w:left w:val="nil"/>
              <w:bottom w:val="dotted" w:sz="4" w:space="0" w:color="auto"/>
              <w:right w:val="single" w:sz="8" w:space="0" w:color="auto"/>
            </w:tcBorders>
            <w:shd w:val="clear" w:color="auto" w:fill="auto"/>
            <w:noWrap/>
            <w:vAlign w:val="bottom"/>
            <w:hideMark/>
          </w:tcPr>
          <w:p w14:paraId="31B1402E"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301.500 </w:t>
            </w:r>
          </w:p>
        </w:tc>
        <w:tc>
          <w:tcPr>
            <w:tcW w:w="1180" w:type="dxa"/>
            <w:tcBorders>
              <w:top w:val="nil"/>
              <w:left w:val="nil"/>
              <w:bottom w:val="dotted" w:sz="4" w:space="0" w:color="auto"/>
              <w:right w:val="single" w:sz="8" w:space="0" w:color="auto"/>
            </w:tcBorders>
            <w:shd w:val="clear" w:color="auto" w:fill="auto"/>
            <w:noWrap/>
            <w:vAlign w:val="bottom"/>
            <w:hideMark/>
          </w:tcPr>
          <w:p w14:paraId="77F7FB8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341.000 </w:t>
            </w:r>
          </w:p>
        </w:tc>
        <w:tc>
          <w:tcPr>
            <w:tcW w:w="1180" w:type="dxa"/>
            <w:tcBorders>
              <w:top w:val="nil"/>
              <w:left w:val="nil"/>
              <w:bottom w:val="dotted" w:sz="4" w:space="0" w:color="auto"/>
              <w:right w:val="single" w:sz="8" w:space="0" w:color="auto"/>
            </w:tcBorders>
            <w:shd w:val="clear" w:color="auto" w:fill="auto"/>
            <w:noWrap/>
            <w:vAlign w:val="bottom"/>
            <w:hideMark/>
          </w:tcPr>
          <w:p w14:paraId="7F78CE21"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39.500 </w:t>
            </w:r>
          </w:p>
        </w:tc>
        <w:tc>
          <w:tcPr>
            <w:tcW w:w="1041" w:type="dxa"/>
            <w:tcBorders>
              <w:top w:val="nil"/>
              <w:left w:val="nil"/>
              <w:bottom w:val="dotted" w:sz="4" w:space="0" w:color="auto"/>
              <w:right w:val="single" w:sz="8" w:space="0" w:color="auto"/>
            </w:tcBorders>
            <w:shd w:val="clear" w:color="auto" w:fill="auto"/>
            <w:noWrap/>
            <w:vAlign w:val="bottom"/>
            <w:hideMark/>
          </w:tcPr>
          <w:p w14:paraId="5888C20C"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13%</w:t>
            </w:r>
          </w:p>
        </w:tc>
      </w:tr>
      <w:tr w:rsidR="00077EA8" w:rsidRPr="00077EA8" w14:paraId="0A5114BF" w14:textId="77777777" w:rsidTr="00077EA8">
        <w:trPr>
          <w:trHeight w:val="300"/>
        </w:trPr>
        <w:tc>
          <w:tcPr>
            <w:tcW w:w="628" w:type="dxa"/>
            <w:tcBorders>
              <w:top w:val="nil"/>
              <w:left w:val="single" w:sz="8" w:space="0" w:color="auto"/>
              <w:bottom w:val="single" w:sz="8" w:space="0" w:color="auto"/>
              <w:right w:val="nil"/>
            </w:tcBorders>
            <w:shd w:val="clear" w:color="auto" w:fill="auto"/>
            <w:noWrap/>
            <w:vAlign w:val="bottom"/>
            <w:hideMark/>
          </w:tcPr>
          <w:p w14:paraId="5409DD2F" w14:textId="77777777" w:rsidR="00077EA8" w:rsidRPr="00077EA8" w:rsidRDefault="00077EA8" w:rsidP="00077EA8">
            <w:pPr>
              <w:spacing w:after="0" w:line="240" w:lineRule="auto"/>
              <w:jc w:val="center"/>
              <w:rPr>
                <w:rFonts w:ascii="Arial Narrow" w:eastAsia="Times New Roman" w:hAnsi="Arial Narrow" w:cs="Calibri"/>
                <w:b/>
                <w:bCs/>
                <w:sz w:val="20"/>
                <w:szCs w:val="20"/>
              </w:rPr>
            </w:pPr>
            <w:r>
              <w:rPr>
                <w:rFonts w:ascii="Arial Narrow" w:hAnsi="Arial Narrow"/>
                <w:b/>
                <w:sz w:val="20"/>
              </w:rPr>
              <w:t>17</w:t>
            </w:r>
          </w:p>
        </w:tc>
        <w:tc>
          <w:tcPr>
            <w:tcW w:w="4012" w:type="dxa"/>
            <w:tcBorders>
              <w:top w:val="nil"/>
              <w:left w:val="single" w:sz="8" w:space="0" w:color="auto"/>
              <w:bottom w:val="single" w:sz="8" w:space="0" w:color="auto"/>
              <w:right w:val="single" w:sz="8" w:space="0" w:color="auto"/>
            </w:tcBorders>
            <w:shd w:val="clear" w:color="auto" w:fill="auto"/>
            <w:noWrap/>
            <w:vAlign w:val="bottom"/>
            <w:hideMark/>
          </w:tcPr>
          <w:p w14:paraId="197725D3"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Missões de observação eleitoral </w:t>
            </w:r>
          </w:p>
        </w:tc>
        <w:tc>
          <w:tcPr>
            <w:tcW w:w="1480" w:type="dxa"/>
            <w:tcBorders>
              <w:top w:val="nil"/>
              <w:left w:val="nil"/>
              <w:bottom w:val="single" w:sz="8" w:space="0" w:color="auto"/>
              <w:right w:val="single" w:sz="8" w:space="0" w:color="auto"/>
            </w:tcBorders>
            <w:shd w:val="clear" w:color="auto" w:fill="auto"/>
            <w:noWrap/>
            <w:vAlign w:val="bottom"/>
            <w:hideMark/>
          </w:tcPr>
          <w:p w14:paraId="0AF2C9A7"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300.000 </w:t>
            </w:r>
          </w:p>
        </w:tc>
        <w:tc>
          <w:tcPr>
            <w:tcW w:w="1180" w:type="dxa"/>
            <w:tcBorders>
              <w:top w:val="nil"/>
              <w:left w:val="nil"/>
              <w:bottom w:val="single" w:sz="8" w:space="0" w:color="auto"/>
              <w:right w:val="single" w:sz="8" w:space="0" w:color="auto"/>
            </w:tcBorders>
            <w:shd w:val="clear" w:color="auto" w:fill="auto"/>
            <w:noWrap/>
            <w:vAlign w:val="bottom"/>
            <w:hideMark/>
          </w:tcPr>
          <w:p w14:paraId="1F2EAF69"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300.000 </w:t>
            </w:r>
          </w:p>
        </w:tc>
        <w:tc>
          <w:tcPr>
            <w:tcW w:w="1180" w:type="dxa"/>
            <w:tcBorders>
              <w:top w:val="nil"/>
              <w:left w:val="nil"/>
              <w:bottom w:val="single" w:sz="8" w:space="0" w:color="auto"/>
              <w:right w:val="single" w:sz="8" w:space="0" w:color="auto"/>
            </w:tcBorders>
            <w:shd w:val="clear" w:color="auto" w:fill="auto"/>
            <w:noWrap/>
            <w:vAlign w:val="bottom"/>
            <w:hideMark/>
          </w:tcPr>
          <w:p w14:paraId="5D0C1B45" w14:textId="77777777" w:rsidR="00077EA8" w:rsidRPr="00077EA8" w:rsidRDefault="00077EA8" w:rsidP="00077EA8">
            <w:pPr>
              <w:spacing w:after="0" w:line="240" w:lineRule="auto"/>
              <w:rPr>
                <w:rFonts w:ascii="Arial Narrow" w:eastAsia="Times New Roman" w:hAnsi="Arial Narrow" w:cs="Calibri"/>
                <w:b/>
                <w:bCs/>
                <w:sz w:val="20"/>
                <w:szCs w:val="20"/>
              </w:rPr>
            </w:pPr>
            <w:r>
              <w:rPr>
                <w:rFonts w:ascii="Arial Narrow" w:hAnsi="Arial Narrow"/>
                <w:b/>
                <w:sz w:val="20"/>
              </w:rPr>
              <w:t xml:space="preserve">                   -   </w:t>
            </w:r>
          </w:p>
        </w:tc>
        <w:tc>
          <w:tcPr>
            <w:tcW w:w="1041" w:type="dxa"/>
            <w:tcBorders>
              <w:top w:val="nil"/>
              <w:left w:val="nil"/>
              <w:bottom w:val="single" w:sz="8" w:space="0" w:color="auto"/>
              <w:right w:val="single" w:sz="8" w:space="0" w:color="auto"/>
            </w:tcBorders>
            <w:shd w:val="clear" w:color="auto" w:fill="auto"/>
            <w:noWrap/>
            <w:vAlign w:val="bottom"/>
            <w:hideMark/>
          </w:tcPr>
          <w:p w14:paraId="347F14E3" w14:textId="77777777" w:rsidR="00077EA8" w:rsidRPr="00077EA8" w:rsidRDefault="00077EA8" w:rsidP="00077EA8">
            <w:pPr>
              <w:spacing w:after="0" w:line="240" w:lineRule="auto"/>
              <w:jc w:val="right"/>
              <w:rPr>
                <w:rFonts w:ascii="Calibri" w:eastAsia="Times New Roman" w:hAnsi="Calibri" w:cs="Calibri"/>
                <w:b/>
                <w:bCs/>
                <w:sz w:val="20"/>
                <w:szCs w:val="20"/>
              </w:rPr>
            </w:pPr>
            <w:r>
              <w:rPr>
                <w:rFonts w:ascii="Calibri" w:hAnsi="Calibri"/>
                <w:b/>
                <w:sz w:val="20"/>
              </w:rPr>
              <w:t>0%</w:t>
            </w:r>
          </w:p>
        </w:tc>
      </w:tr>
    </w:tbl>
    <w:p w14:paraId="48DFAA61" w14:textId="2E06F777" w:rsidR="004A64AA" w:rsidRDefault="004A64AA" w:rsidP="00480C2B">
      <w:pPr>
        <w:pStyle w:val="ListParagraph"/>
        <w:spacing w:after="0" w:line="240" w:lineRule="auto"/>
        <w:ind w:left="0" w:hanging="720"/>
        <w:jc w:val="both"/>
        <w:rPr>
          <w:rFonts w:ascii="Bookman Old Style" w:hAnsi="Bookman Old Style"/>
          <w:sz w:val="24"/>
          <w:szCs w:val="24"/>
        </w:rPr>
      </w:pPr>
    </w:p>
    <w:p w14:paraId="52716AF1" w14:textId="7385704E" w:rsidR="009435A8" w:rsidRDefault="003817D9" w:rsidP="00480C2B">
      <w:pPr>
        <w:pStyle w:val="ListParagraph"/>
        <w:spacing w:after="0" w:line="240" w:lineRule="auto"/>
        <w:ind w:left="0"/>
        <w:jc w:val="both"/>
        <w:rPr>
          <w:rFonts w:ascii="Bookman Old Style" w:hAnsi="Bookman Old Style"/>
          <w:b/>
          <w:sz w:val="24"/>
          <w:szCs w:val="24"/>
        </w:rPr>
      </w:pPr>
      <w:r>
        <w:rPr>
          <w:rFonts w:ascii="Bookman Old Style" w:hAnsi="Bookman Old Style"/>
          <w:b/>
          <w:sz w:val="24"/>
        </w:rPr>
        <w:t>5.6. Despesas de Capital: N$145.000</w:t>
      </w:r>
    </w:p>
    <w:p w14:paraId="2C94D84C" w14:textId="50F497D3" w:rsidR="009817AD" w:rsidRDefault="009817AD" w:rsidP="00480C2B">
      <w:pPr>
        <w:pStyle w:val="ListParagraph"/>
        <w:spacing w:after="0" w:line="240" w:lineRule="auto"/>
        <w:ind w:left="0"/>
        <w:jc w:val="both"/>
        <w:rPr>
          <w:rFonts w:ascii="Bookman Old Style" w:hAnsi="Bookman Old Style"/>
          <w:b/>
          <w:sz w:val="24"/>
          <w:szCs w:val="24"/>
        </w:rPr>
      </w:pPr>
    </w:p>
    <w:p w14:paraId="202EFBBB" w14:textId="2C7D2130" w:rsidR="00334D30" w:rsidRPr="00DC66E5" w:rsidRDefault="003817D9" w:rsidP="00DC66E5">
      <w:pPr>
        <w:pStyle w:val="ListParagraph"/>
        <w:spacing w:after="0" w:line="240" w:lineRule="auto"/>
        <w:ind w:left="709" w:hanging="709"/>
        <w:jc w:val="both"/>
        <w:rPr>
          <w:rFonts w:ascii="Bookman Old Style" w:hAnsi="Bookman Old Style"/>
          <w:b/>
          <w:sz w:val="24"/>
          <w:szCs w:val="24"/>
        </w:rPr>
      </w:pPr>
      <w:r>
        <w:rPr>
          <w:rFonts w:ascii="Bookman Old Style" w:hAnsi="Bookman Old Style"/>
          <w:sz w:val="24"/>
        </w:rPr>
        <w:t>5.6.1.</w:t>
      </w:r>
      <w:r>
        <w:rPr>
          <w:rFonts w:ascii="Bookman Old Style" w:hAnsi="Bookman Old Style"/>
          <w:sz w:val="24"/>
        </w:rPr>
        <w:tab/>
        <w:t xml:space="preserve">As despesas de capital relativas ao mobiliário e equipamento de escritório foram previstas de forma adequada no orçamento do ano passado. A provisão ainda não foi utilizada na sua totalidade. De facto, o orçamento do exercício de 2023/2024 prevê uma quantidade mínima para o mobiliário residencial e algum mobiliário e equipamento de escritório. </w:t>
      </w:r>
    </w:p>
    <w:p w14:paraId="002D1977" w14:textId="61FD4D48" w:rsidR="00B71FA6" w:rsidRDefault="00B71FA6" w:rsidP="000866C0">
      <w:pPr>
        <w:spacing w:after="0" w:line="240" w:lineRule="auto"/>
        <w:jc w:val="both"/>
        <w:rPr>
          <w:rFonts w:ascii="Bookman Old Style" w:hAnsi="Bookman Old Style"/>
          <w:sz w:val="24"/>
          <w:szCs w:val="24"/>
        </w:rPr>
      </w:pPr>
    </w:p>
    <w:p w14:paraId="32DF3FA0" w14:textId="77777777" w:rsidR="00EC59BC" w:rsidRPr="000866C0" w:rsidRDefault="00EC59BC" w:rsidP="000866C0">
      <w:pPr>
        <w:spacing w:after="0" w:line="240" w:lineRule="auto"/>
        <w:jc w:val="both"/>
        <w:rPr>
          <w:rFonts w:ascii="Bookman Old Style" w:hAnsi="Bookman Old Style"/>
          <w:sz w:val="24"/>
          <w:szCs w:val="24"/>
        </w:rPr>
      </w:pPr>
    </w:p>
    <w:p w14:paraId="2657ECC5" w14:textId="66BAFC57" w:rsidR="00B71FA6" w:rsidRPr="00AA7873" w:rsidRDefault="00B71FA6" w:rsidP="00AA7873">
      <w:pPr>
        <w:pStyle w:val="ListParagraph"/>
        <w:numPr>
          <w:ilvl w:val="1"/>
          <w:numId w:val="34"/>
        </w:numPr>
        <w:spacing w:after="0" w:line="240" w:lineRule="auto"/>
        <w:jc w:val="both"/>
        <w:rPr>
          <w:rFonts w:ascii="Bookman Old Style" w:hAnsi="Bookman Old Style"/>
          <w:b/>
          <w:sz w:val="24"/>
          <w:szCs w:val="24"/>
        </w:rPr>
      </w:pPr>
      <w:r>
        <w:rPr>
          <w:rFonts w:ascii="Bookman Old Style" w:hAnsi="Bookman Old Style"/>
          <w:b/>
          <w:sz w:val="24"/>
        </w:rPr>
        <w:lastRenderedPageBreak/>
        <w:t>Montante de contingência N$60.000</w:t>
      </w:r>
    </w:p>
    <w:p w14:paraId="16797A6A" w14:textId="6C7E07E0" w:rsidR="00D46CAF" w:rsidRPr="008040EC" w:rsidRDefault="00D46CAF" w:rsidP="002003BF">
      <w:pPr>
        <w:spacing w:after="0" w:line="240" w:lineRule="auto"/>
        <w:ind w:left="709"/>
        <w:jc w:val="both"/>
        <w:rPr>
          <w:rFonts w:ascii="Bookman Old Style" w:hAnsi="Bookman Old Style"/>
          <w:sz w:val="24"/>
          <w:szCs w:val="24"/>
        </w:rPr>
      </w:pPr>
      <w:r>
        <w:rPr>
          <w:rFonts w:ascii="Bookman Old Style" w:hAnsi="Bookman Old Style"/>
          <w:sz w:val="24"/>
        </w:rPr>
        <w:t xml:space="preserve">Há provisão </w:t>
      </w:r>
      <w:r w:rsidR="00297425">
        <w:rPr>
          <w:rFonts w:ascii="Bookman Old Style" w:hAnsi="Bookman Old Style"/>
          <w:sz w:val="24"/>
        </w:rPr>
        <w:t>de</w:t>
      </w:r>
      <w:r>
        <w:rPr>
          <w:rFonts w:ascii="Bookman Old Style" w:hAnsi="Bookman Old Style"/>
          <w:sz w:val="24"/>
        </w:rPr>
        <w:t xml:space="preserve"> uma quantia mínima de contingência (ZAR 60.000) para quaisquer circunstâncias imprevistas que possam surgir. </w:t>
      </w:r>
    </w:p>
    <w:p w14:paraId="13BE6B08" w14:textId="77777777" w:rsidR="001E25B9" w:rsidRPr="008040EC" w:rsidRDefault="001E25B9" w:rsidP="002003BF">
      <w:pPr>
        <w:spacing w:after="0" w:line="240" w:lineRule="auto"/>
        <w:ind w:left="709" w:hanging="709"/>
        <w:jc w:val="both"/>
        <w:rPr>
          <w:rFonts w:ascii="Bookman Old Style" w:hAnsi="Bookman Old Style"/>
          <w:sz w:val="24"/>
          <w:szCs w:val="24"/>
        </w:rPr>
      </w:pPr>
    </w:p>
    <w:p w14:paraId="2B81716F" w14:textId="200D2E1D" w:rsidR="002B7286" w:rsidRPr="00AA7873" w:rsidRDefault="002B7286" w:rsidP="00AA7873">
      <w:pPr>
        <w:pStyle w:val="ListParagraph"/>
        <w:numPr>
          <w:ilvl w:val="1"/>
          <w:numId w:val="34"/>
        </w:numPr>
        <w:spacing w:after="0" w:line="240" w:lineRule="auto"/>
        <w:jc w:val="both"/>
        <w:rPr>
          <w:rFonts w:ascii="Bookman Old Style" w:hAnsi="Bookman Old Style"/>
          <w:b/>
          <w:bCs/>
          <w:sz w:val="24"/>
          <w:szCs w:val="24"/>
        </w:rPr>
      </w:pPr>
      <w:r>
        <w:rPr>
          <w:rFonts w:ascii="Bookman Old Style" w:hAnsi="Bookman Old Style"/>
          <w:b/>
          <w:sz w:val="24"/>
        </w:rPr>
        <w:t xml:space="preserve">Reembolso do crédito habitação N$456.242 </w:t>
      </w:r>
    </w:p>
    <w:p w14:paraId="797FF7F8" w14:textId="44BE5271" w:rsidR="002B7286" w:rsidRPr="008040EC" w:rsidRDefault="002B7286" w:rsidP="002003BF">
      <w:pPr>
        <w:spacing w:after="0" w:line="240" w:lineRule="auto"/>
        <w:ind w:left="709"/>
        <w:jc w:val="both"/>
        <w:rPr>
          <w:rFonts w:ascii="Bookman Old Style" w:hAnsi="Bookman Old Style"/>
          <w:sz w:val="24"/>
          <w:szCs w:val="24"/>
        </w:rPr>
      </w:pPr>
      <w:bookmarkStart w:id="9" w:name="_Hlk57555372"/>
      <w:r>
        <w:rPr>
          <w:rFonts w:ascii="Bookman Old Style" w:hAnsi="Bookman Old Style"/>
          <w:sz w:val="24"/>
        </w:rPr>
        <w:t>O valor principal dos reembolsos do crédito habitação ao Nedbank relativo à residência oficial da Secretária-geral é de N$456,242 no exercício de 2023/2024. São previstos juros devidos por ano na rubrica dos Encargos Financeiros.</w:t>
      </w:r>
    </w:p>
    <w:bookmarkEnd w:id="9"/>
    <w:p w14:paraId="7A6797E6" w14:textId="733B40FF" w:rsidR="004F6D5A" w:rsidRPr="008040EC" w:rsidRDefault="004F6D5A" w:rsidP="004F6D5A">
      <w:pPr>
        <w:spacing w:after="0" w:line="240" w:lineRule="auto"/>
        <w:jc w:val="both"/>
        <w:rPr>
          <w:rFonts w:ascii="Bookman Old Style" w:hAnsi="Bookman Old Style"/>
          <w:sz w:val="24"/>
          <w:szCs w:val="24"/>
        </w:rPr>
      </w:pPr>
    </w:p>
    <w:p w14:paraId="43396CF3" w14:textId="4F00A6D0" w:rsidR="004F6D5A" w:rsidRPr="008040EC" w:rsidRDefault="00AA7873" w:rsidP="004F6D5A">
      <w:pPr>
        <w:spacing w:after="0" w:line="240" w:lineRule="auto"/>
        <w:jc w:val="both"/>
        <w:rPr>
          <w:rFonts w:ascii="Bookman Old Style" w:hAnsi="Bookman Old Style"/>
          <w:b/>
          <w:bCs/>
          <w:sz w:val="24"/>
          <w:szCs w:val="24"/>
        </w:rPr>
      </w:pPr>
      <w:r>
        <w:rPr>
          <w:rFonts w:ascii="Bookman Old Style" w:hAnsi="Bookman Old Style"/>
          <w:b/>
          <w:sz w:val="24"/>
        </w:rPr>
        <w:t>5.9.</w:t>
      </w:r>
      <w:r>
        <w:rPr>
          <w:rFonts w:ascii="Bookman Old Style" w:hAnsi="Bookman Old Style"/>
          <w:b/>
          <w:sz w:val="24"/>
        </w:rPr>
        <w:tab/>
        <w:t>Reembolso do empréstimo para a viatura N$205.983</w:t>
      </w:r>
    </w:p>
    <w:p w14:paraId="55B1FDBC" w14:textId="177D42E8" w:rsidR="004F6D5A" w:rsidRDefault="004F6D5A" w:rsidP="004F6D5A">
      <w:pPr>
        <w:spacing w:after="0" w:line="240" w:lineRule="auto"/>
        <w:ind w:left="709"/>
        <w:jc w:val="both"/>
        <w:rPr>
          <w:rFonts w:ascii="Bookman Old Style" w:hAnsi="Bookman Old Style"/>
          <w:sz w:val="24"/>
          <w:szCs w:val="24"/>
        </w:rPr>
      </w:pPr>
      <w:r>
        <w:rPr>
          <w:rFonts w:ascii="Bookman Old Style" w:hAnsi="Bookman Old Style"/>
          <w:sz w:val="24"/>
        </w:rPr>
        <w:tab/>
        <w:t xml:space="preserve">Foi feita uma provisão para o reembolso anual do empréstimo no valor de N$205.983 na quantia principal da viatura para a Secretária-geral. São previstos juros devidos por ano na rubrica dos Encargos Financeiros. </w:t>
      </w:r>
    </w:p>
    <w:p w14:paraId="339E8AEB" w14:textId="285FEF23" w:rsidR="004F6D5A" w:rsidRPr="008040EC" w:rsidRDefault="004F6D5A" w:rsidP="004F6D5A">
      <w:pPr>
        <w:spacing w:after="0" w:line="240" w:lineRule="auto"/>
        <w:jc w:val="both"/>
        <w:rPr>
          <w:rFonts w:ascii="Bookman Old Style" w:hAnsi="Bookman Old Style"/>
          <w:sz w:val="24"/>
          <w:szCs w:val="24"/>
        </w:rPr>
      </w:pPr>
    </w:p>
    <w:p w14:paraId="3D77BCCA" w14:textId="77777777" w:rsidR="008357A8" w:rsidRPr="008040EC" w:rsidRDefault="008357A8" w:rsidP="00480C2B">
      <w:pPr>
        <w:spacing w:after="0" w:line="240" w:lineRule="auto"/>
        <w:jc w:val="both"/>
        <w:rPr>
          <w:rFonts w:ascii="Bookman Old Style" w:hAnsi="Bookman Old Style"/>
          <w:b/>
          <w:sz w:val="24"/>
          <w:szCs w:val="24"/>
        </w:rPr>
      </w:pPr>
    </w:p>
    <w:p w14:paraId="77AD6871" w14:textId="1DDBB10A" w:rsidR="004B6FC7" w:rsidRPr="00EB6D5C" w:rsidRDefault="00990164" w:rsidP="00EB6D5C">
      <w:pPr>
        <w:pStyle w:val="ListParagraph"/>
        <w:numPr>
          <w:ilvl w:val="0"/>
          <w:numId w:val="35"/>
        </w:numPr>
        <w:spacing w:after="0" w:line="240" w:lineRule="auto"/>
        <w:jc w:val="both"/>
        <w:rPr>
          <w:rFonts w:ascii="Bookman Old Style" w:hAnsi="Bookman Old Style"/>
          <w:b/>
          <w:sz w:val="24"/>
          <w:szCs w:val="24"/>
        </w:rPr>
      </w:pPr>
      <w:r>
        <w:rPr>
          <w:rFonts w:ascii="Bookman Old Style" w:hAnsi="Bookman Old Style"/>
          <w:b/>
          <w:sz w:val="24"/>
        </w:rPr>
        <w:t>PRINCIPAIS CONSIDERAÇÕES</w:t>
      </w:r>
    </w:p>
    <w:p w14:paraId="528CAABD" w14:textId="77777777" w:rsidR="00DB46E8" w:rsidRPr="008040EC" w:rsidRDefault="00DB46E8" w:rsidP="002003BF">
      <w:pPr>
        <w:pStyle w:val="ListParagraph"/>
        <w:spacing w:after="0" w:line="240" w:lineRule="auto"/>
        <w:ind w:left="709" w:hanging="709"/>
        <w:jc w:val="both"/>
        <w:rPr>
          <w:rFonts w:ascii="Bookman Old Style" w:hAnsi="Bookman Old Style"/>
          <w:b/>
          <w:sz w:val="24"/>
          <w:szCs w:val="24"/>
        </w:rPr>
      </w:pPr>
    </w:p>
    <w:p w14:paraId="797EFFE1" w14:textId="66EBCA47" w:rsidR="002F722F" w:rsidRPr="002D3598" w:rsidRDefault="00EB6D5C" w:rsidP="002D3598">
      <w:pPr>
        <w:pStyle w:val="ListParagraph"/>
        <w:numPr>
          <w:ilvl w:val="1"/>
          <w:numId w:val="35"/>
        </w:numPr>
        <w:autoSpaceDE w:val="0"/>
        <w:autoSpaceDN w:val="0"/>
        <w:adjustRightInd w:val="0"/>
        <w:spacing w:after="0" w:line="240" w:lineRule="auto"/>
        <w:ind w:left="709" w:hanging="709"/>
        <w:jc w:val="both"/>
        <w:rPr>
          <w:rFonts w:ascii="Bookman Old Style" w:hAnsi="Bookman Old Style"/>
          <w:b/>
          <w:sz w:val="24"/>
        </w:rPr>
      </w:pPr>
      <w:r w:rsidRPr="002D3598">
        <w:rPr>
          <w:rFonts w:ascii="Bookman Old Style" w:hAnsi="Bookman Old Style"/>
          <w:b/>
          <w:sz w:val="24"/>
        </w:rPr>
        <w:t>Priorização de Actividades</w:t>
      </w:r>
    </w:p>
    <w:p w14:paraId="313204B8" w14:textId="77777777" w:rsidR="002D3598" w:rsidRPr="002D3598" w:rsidRDefault="002D3598" w:rsidP="002D3598">
      <w:pPr>
        <w:autoSpaceDE w:val="0"/>
        <w:autoSpaceDN w:val="0"/>
        <w:adjustRightInd w:val="0"/>
        <w:spacing w:after="0" w:line="240" w:lineRule="auto"/>
        <w:ind w:left="720"/>
        <w:jc w:val="both"/>
        <w:rPr>
          <w:rFonts w:ascii="Bookman Old Style" w:hAnsi="Bookman Old Style"/>
          <w:b/>
          <w:sz w:val="24"/>
          <w:szCs w:val="24"/>
        </w:rPr>
      </w:pPr>
    </w:p>
    <w:p w14:paraId="170B780B" w14:textId="3A00FE88" w:rsidR="006A4500" w:rsidRPr="008040EC" w:rsidRDefault="00EB6D5C" w:rsidP="002003BF">
      <w:pPr>
        <w:autoSpaceDE w:val="0"/>
        <w:autoSpaceDN w:val="0"/>
        <w:adjustRightInd w:val="0"/>
        <w:spacing w:after="0" w:line="240" w:lineRule="auto"/>
        <w:ind w:left="709" w:hanging="709"/>
        <w:jc w:val="both"/>
        <w:rPr>
          <w:rFonts w:ascii="Bookman Old Style" w:hAnsi="Bookman Old Style"/>
          <w:sz w:val="24"/>
          <w:szCs w:val="24"/>
        </w:rPr>
      </w:pPr>
      <w:r>
        <w:rPr>
          <w:rFonts w:ascii="Bookman Old Style" w:hAnsi="Bookman Old Style"/>
          <w:sz w:val="24"/>
        </w:rPr>
        <w:t>6.1.1.</w:t>
      </w:r>
      <w:r>
        <w:rPr>
          <w:rFonts w:ascii="Bookman Old Style" w:hAnsi="Bookman Old Style"/>
          <w:sz w:val="24"/>
        </w:rPr>
        <w:tab/>
        <w:t xml:space="preserve">Durante o exercício financeiro 2023/2024, o Fórum vai continuar a restruturar as suas operações para se tornar mais rentável e eficaz no cumprimento das suas actividades estatutárias e </w:t>
      </w:r>
      <w:r w:rsidR="00297425">
        <w:rPr>
          <w:rFonts w:ascii="Bookman Old Style" w:hAnsi="Bookman Old Style"/>
          <w:sz w:val="24"/>
        </w:rPr>
        <w:t>d</w:t>
      </w:r>
      <w:r>
        <w:rPr>
          <w:rFonts w:ascii="Bookman Old Style" w:hAnsi="Bookman Old Style"/>
          <w:sz w:val="24"/>
        </w:rPr>
        <w:t xml:space="preserve">as dos programas. É importante que as actividades estatutárias tais como as Assembleias Plenárias, as reuniões da Comissão Executiva e as reuniões das comissões permanentes se realizem </w:t>
      </w:r>
      <w:r>
        <w:rPr>
          <w:rFonts w:ascii="Bookman Old Style" w:hAnsi="Bookman Old Style"/>
          <w:i/>
          <w:iCs/>
          <w:sz w:val="24"/>
        </w:rPr>
        <w:t>sem falta</w:t>
      </w:r>
      <w:r>
        <w:rPr>
          <w:rFonts w:ascii="Bookman Old Style" w:hAnsi="Bookman Old Style"/>
          <w:sz w:val="24"/>
        </w:rPr>
        <w:t xml:space="preserve">. </w:t>
      </w:r>
    </w:p>
    <w:p w14:paraId="09715E03" w14:textId="77777777" w:rsidR="002003BF" w:rsidRPr="008040EC" w:rsidRDefault="002003BF" w:rsidP="002003BF">
      <w:pPr>
        <w:autoSpaceDE w:val="0"/>
        <w:autoSpaceDN w:val="0"/>
        <w:adjustRightInd w:val="0"/>
        <w:spacing w:after="0" w:line="240" w:lineRule="auto"/>
        <w:ind w:left="709" w:hanging="709"/>
        <w:jc w:val="both"/>
        <w:rPr>
          <w:rFonts w:ascii="Bookman Old Style" w:hAnsi="Bookman Old Style"/>
          <w:sz w:val="24"/>
          <w:szCs w:val="24"/>
        </w:rPr>
      </w:pPr>
    </w:p>
    <w:p w14:paraId="51E24628" w14:textId="2413B108" w:rsidR="002F722F" w:rsidRPr="00EB6D5C" w:rsidRDefault="002F722F" w:rsidP="00EB6D5C">
      <w:pPr>
        <w:pStyle w:val="ListParagraph"/>
        <w:numPr>
          <w:ilvl w:val="2"/>
          <w:numId w:val="36"/>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rPr>
        <w:t xml:space="preserve">As principais considerações incluem </w:t>
      </w:r>
      <w:r w:rsidR="00297425">
        <w:rPr>
          <w:rFonts w:ascii="Bookman Old Style" w:hAnsi="Bookman Old Style"/>
          <w:sz w:val="24"/>
        </w:rPr>
        <w:t>garantir</w:t>
      </w:r>
      <w:r>
        <w:rPr>
          <w:rFonts w:ascii="Bookman Old Style" w:hAnsi="Bookman Old Style"/>
          <w:sz w:val="24"/>
        </w:rPr>
        <w:t xml:space="preserve"> que </w:t>
      </w:r>
      <w:r w:rsidR="00297425">
        <w:rPr>
          <w:rFonts w:ascii="Bookman Old Style" w:hAnsi="Bookman Old Style"/>
          <w:sz w:val="24"/>
        </w:rPr>
        <w:t xml:space="preserve">sejam implementadas </w:t>
      </w:r>
      <w:r>
        <w:rPr>
          <w:rFonts w:ascii="Bookman Old Style" w:hAnsi="Bookman Old Style"/>
          <w:sz w:val="24"/>
        </w:rPr>
        <w:t xml:space="preserve">outras actividades prioritárias tais como as que contribuem para a efectivação da transformação do FP-SADC em Parlamento Regional da SADC. </w:t>
      </w:r>
    </w:p>
    <w:p w14:paraId="202731A9" w14:textId="77777777" w:rsidR="002003BF" w:rsidRPr="008040EC" w:rsidRDefault="002003BF" w:rsidP="002003BF">
      <w:pPr>
        <w:pStyle w:val="ListParagraph"/>
        <w:autoSpaceDE w:val="0"/>
        <w:autoSpaceDN w:val="0"/>
        <w:adjustRightInd w:val="0"/>
        <w:spacing w:after="0" w:line="240" w:lineRule="auto"/>
        <w:jc w:val="both"/>
        <w:rPr>
          <w:rFonts w:ascii="Bookman Old Style" w:hAnsi="Bookman Old Style"/>
          <w:sz w:val="24"/>
          <w:szCs w:val="24"/>
        </w:rPr>
      </w:pPr>
    </w:p>
    <w:p w14:paraId="1D21A875" w14:textId="73D87872" w:rsidR="002003BF" w:rsidRPr="00EB6D5C" w:rsidRDefault="002F722F" w:rsidP="00EB6D5C">
      <w:pPr>
        <w:pStyle w:val="ListParagraph"/>
        <w:numPr>
          <w:ilvl w:val="2"/>
          <w:numId w:val="36"/>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rPr>
        <w:t>Um quadro do pessoal motivado é também essencial para atingir os objectivos do Fórum. Por isso, é importante que a estrutura salarial continue a ser competitiva e esteja alinhada à das outras instituições congéneres.</w:t>
      </w:r>
    </w:p>
    <w:p w14:paraId="1F1AD613" w14:textId="77777777" w:rsidR="007F012B" w:rsidRPr="007F012B" w:rsidRDefault="007F012B" w:rsidP="007F012B">
      <w:pPr>
        <w:autoSpaceDE w:val="0"/>
        <w:autoSpaceDN w:val="0"/>
        <w:adjustRightInd w:val="0"/>
        <w:spacing w:after="0" w:line="240" w:lineRule="auto"/>
        <w:jc w:val="both"/>
        <w:rPr>
          <w:rFonts w:ascii="Bookman Old Style" w:hAnsi="Bookman Old Style"/>
          <w:sz w:val="24"/>
          <w:szCs w:val="24"/>
        </w:rPr>
      </w:pPr>
    </w:p>
    <w:p w14:paraId="513A8696" w14:textId="75B5E48D" w:rsidR="00CC1843" w:rsidRPr="008040EC" w:rsidRDefault="00CC1843" w:rsidP="00EB6D5C">
      <w:pPr>
        <w:pStyle w:val="ListParagraph"/>
        <w:numPr>
          <w:ilvl w:val="2"/>
          <w:numId w:val="36"/>
        </w:numPr>
        <w:autoSpaceDE w:val="0"/>
        <w:autoSpaceDN w:val="0"/>
        <w:adjustRightInd w:val="0"/>
        <w:spacing w:after="0" w:line="240" w:lineRule="auto"/>
        <w:ind w:left="709" w:hanging="709"/>
        <w:jc w:val="both"/>
        <w:rPr>
          <w:rFonts w:ascii="Bookman Old Style" w:hAnsi="Bookman Old Style"/>
          <w:sz w:val="24"/>
          <w:szCs w:val="24"/>
        </w:rPr>
      </w:pPr>
      <w:r>
        <w:rPr>
          <w:rFonts w:ascii="Bookman Old Style" w:hAnsi="Bookman Old Style"/>
          <w:sz w:val="24"/>
        </w:rPr>
        <w:t>Mobilização de Recursos: A implementação da Estratégia de Mobilização de Recursos pode implicar reuniões com vários colaboradores para intensificar esforços e garantir resultados. Infelizmente o financiamento concedido por doadores é necessário, uma vez que o Fórum não pode depender totalmente das contribuições pagas pelos membros para realizar as actividades do âmbito dos seus programas. Foi claramente demonstrado no orçamento do exercício de 2023/2024 que tem um excedente mínimo.</w:t>
      </w:r>
    </w:p>
    <w:p w14:paraId="4D4A0447" w14:textId="227B5135" w:rsidR="004658AE" w:rsidRDefault="004658AE" w:rsidP="002003BF">
      <w:pPr>
        <w:pStyle w:val="ListParagraph"/>
        <w:autoSpaceDE w:val="0"/>
        <w:autoSpaceDN w:val="0"/>
        <w:adjustRightInd w:val="0"/>
        <w:spacing w:after="0" w:line="240" w:lineRule="auto"/>
        <w:ind w:left="709" w:hanging="709"/>
        <w:jc w:val="both"/>
        <w:rPr>
          <w:rFonts w:ascii="Bookman Old Style" w:hAnsi="Bookman Old Style"/>
          <w:sz w:val="24"/>
          <w:szCs w:val="24"/>
        </w:rPr>
      </w:pPr>
    </w:p>
    <w:p w14:paraId="6FE714CD" w14:textId="77777777" w:rsidR="00297425" w:rsidRPr="008040EC" w:rsidRDefault="00297425" w:rsidP="002003BF">
      <w:pPr>
        <w:pStyle w:val="ListParagraph"/>
        <w:autoSpaceDE w:val="0"/>
        <w:autoSpaceDN w:val="0"/>
        <w:adjustRightInd w:val="0"/>
        <w:spacing w:after="0" w:line="240" w:lineRule="auto"/>
        <w:ind w:left="709" w:hanging="709"/>
        <w:jc w:val="both"/>
        <w:rPr>
          <w:rFonts w:ascii="Bookman Old Style" w:hAnsi="Bookman Old Style"/>
          <w:sz w:val="24"/>
          <w:szCs w:val="24"/>
        </w:rPr>
      </w:pPr>
    </w:p>
    <w:p w14:paraId="2B930531" w14:textId="4CEF8236" w:rsidR="00695984" w:rsidRPr="002D3598" w:rsidRDefault="00695984" w:rsidP="00EB6D5C">
      <w:pPr>
        <w:pStyle w:val="ListParagraph"/>
        <w:numPr>
          <w:ilvl w:val="1"/>
          <w:numId w:val="36"/>
        </w:numPr>
        <w:spacing w:after="0" w:line="240" w:lineRule="auto"/>
        <w:ind w:left="709" w:hanging="709"/>
        <w:jc w:val="both"/>
        <w:rPr>
          <w:rFonts w:ascii="Bookman Old Style" w:hAnsi="Bookman Old Style"/>
          <w:b/>
          <w:sz w:val="24"/>
          <w:szCs w:val="24"/>
        </w:rPr>
      </w:pPr>
      <w:r>
        <w:rPr>
          <w:rFonts w:ascii="Bookman Old Style" w:hAnsi="Bookman Old Style"/>
          <w:b/>
          <w:sz w:val="24"/>
        </w:rPr>
        <w:lastRenderedPageBreak/>
        <w:t>Fluxo de caixa: Importância de pagamento atempado das contribuições</w:t>
      </w:r>
    </w:p>
    <w:p w14:paraId="7F8BCC8C" w14:textId="77777777" w:rsidR="002D3598" w:rsidRPr="008040EC" w:rsidRDefault="002D3598" w:rsidP="002D3598">
      <w:pPr>
        <w:pStyle w:val="ListParagraph"/>
        <w:spacing w:after="0" w:line="240" w:lineRule="auto"/>
        <w:ind w:left="709"/>
        <w:jc w:val="both"/>
        <w:rPr>
          <w:rFonts w:ascii="Bookman Old Style" w:hAnsi="Bookman Old Style"/>
          <w:b/>
          <w:sz w:val="24"/>
          <w:szCs w:val="24"/>
        </w:rPr>
      </w:pPr>
    </w:p>
    <w:p w14:paraId="423AE3C5" w14:textId="67CD69C1" w:rsidR="004658AE" w:rsidRPr="000B6559" w:rsidRDefault="007B29FF" w:rsidP="000B6559">
      <w:pPr>
        <w:pStyle w:val="ListParagraph"/>
        <w:numPr>
          <w:ilvl w:val="2"/>
          <w:numId w:val="39"/>
        </w:numPr>
        <w:spacing w:after="0" w:line="240" w:lineRule="auto"/>
        <w:jc w:val="both"/>
        <w:rPr>
          <w:rFonts w:ascii="Bookman Old Style" w:hAnsi="Bookman Old Style"/>
          <w:sz w:val="24"/>
          <w:szCs w:val="24"/>
        </w:rPr>
      </w:pPr>
      <w:r w:rsidRPr="000B6559">
        <w:rPr>
          <w:rFonts w:ascii="Bookman Old Style" w:hAnsi="Bookman Old Style"/>
          <w:sz w:val="24"/>
        </w:rPr>
        <w:t xml:space="preserve">O pagamento atempado das contribuições anuais obrigatórias é de extrema importância. Felizmente, no ano em curso houve uma melhoria </w:t>
      </w:r>
      <w:r w:rsidR="00297425" w:rsidRPr="000B6559">
        <w:rPr>
          <w:rFonts w:ascii="Bookman Old Style" w:hAnsi="Bookman Old Style"/>
          <w:sz w:val="24"/>
        </w:rPr>
        <w:t>d</w:t>
      </w:r>
      <w:r w:rsidRPr="000B6559">
        <w:rPr>
          <w:rFonts w:ascii="Bookman Old Style" w:hAnsi="Bookman Old Style"/>
          <w:sz w:val="24"/>
        </w:rPr>
        <w:t xml:space="preserve">o momento dos pagamentos e liquidação dos saldos pendentes, uma tendência que é incentivada e que se prevê continuar a manifestar-se. </w:t>
      </w:r>
    </w:p>
    <w:p w14:paraId="2174E202" w14:textId="77777777" w:rsidR="002003BF" w:rsidRPr="008040EC" w:rsidRDefault="002003BF" w:rsidP="002003BF">
      <w:pPr>
        <w:spacing w:after="0" w:line="240" w:lineRule="auto"/>
        <w:jc w:val="both"/>
        <w:rPr>
          <w:rFonts w:ascii="Bookman Old Style" w:hAnsi="Bookman Old Style"/>
          <w:sz w:val="24"/>
          <w:szCs w:val="24"/>
        </w:rPr>
      </w:pPr>
    </w:p>
    <w:p w14:paraId="1A2648B0" w14:textId="7174B28D" w:rsidR="001926CF" w:rsidRPr="000B6559" w:rsidRDefault="004658AE" w:rsidP="000B6559">
      <w:pPr>
        <w:pStyle w:val="ListParagraph"/>
        <w:numPr>
          <w:ilvl w:val="2"/>
          <w:numId w:val="39"/>
        </w:numPr>
        <w:spacing w:after="0" w:line="240" w:lineRule="auto"/>
        <w:jc w:val="both"/>
        <w:rPr>
          <w:rFonts w:ascii="Bookman Old Style" w:hAnsi="Bookman Old Style"/>
          <w:sz w:val="24"/>
          <w:szCs w:val="24"/>
        </w:rPr>
      </w:pPr>
      <w:r w:rsidRPr="000B6559">
        <w:rPr>
          <w:rFonts w:ascii="Bookman Old Style" w:hAnsi="Bookman Old Style"/>
          <w:sz w:val="24"/>
        </w:rPr>
        <w:t xml:space="preserve">Os parlamentos com saldos remanescentes são exortados a liquidá-los, tratando esta questão com </w:t>
      </w:r>
      <w:r w:rsidR="000B7996" w:rsidRPr="000B6559">
        <w:rPr>
          <w:rFonts w:ascii="Bookman Old Style" w:hAnsi="Bookman Old Style"/>
          <w:sz w:val="24"/>
        </w:rPr>
        <w:t>a máxima</w:t>
      </w:r>
      <w:r w:rsidRPr="000B6559">
        <w:rPr>
          <w:rFonts w:ascii="Bookman Old Style" w:hAnsi="Bookman Old Style"/>
          <w:sz w:val="24"/>
        </w:rPr>
        <w:t xml:space="preserve"> priori</w:t>
      </w:r>
      <w:r w:rsidR="000B7996" w:rsidRPr="000B6559">
        <w:rPr>
          <w:rFonts w:ascii="Bookman Old Style" w:hAnsi="Bookman Old Style"/>
          <w:sz w:val="24"/>
        </w:rPr>
        <w:t>dade</w:t>
      </w:r>
      <w:r w:rsidRPr="000B6559">
        <w:rPr>
          <w:rFonts w:ascii="Bookman Old Style" w:hAnsi="Bookman Old Style"/>
          <w:sz w:val="24"/>
        </w:rPr>
        <w:t xml:space="preserve">, para facilitar um fluxo de caixa saudável. A Comissão Executiva </w:t>
      </w:r>
      <w:r w:rsidR="00670996" w:rsidRPr="000B6559">
        <w:rPr>
          <w:rFonts w:ascii="Bookman Old Style" w:hAnsi="Bookman Old Style"/>
          <w:sz w:val="24"/>
        </w:rPr>
        <w:t xml:space="preserve">foi </w:t>
      </w:r>
      <w:r w:rsidRPr="000B6559">
        <w:rPr>
          <w:rFonts w:ascii="Bookman Old Style" w:hAnsi="Bookman Old Style"/>
          <w:sz w:val="24"/>
        </w:rPr>
        <w:t xml:space="preserve">convidada a desempenhar um papel de mediação a este respeito. </w:t>
      </w:r>
    </w:p>
    <w:p w14:paraId="03DC6D76" w14:textId="3A5FEB62" w:rsidR="006F4B68" w:rsidRPr="002D3598" w:rsidRDefault="006F4B68" w:rsidP="00480C2B">
      <w:pPr>
        <w:spacing w:after="0" w:line="240" w:lineRule="auto"/>
        <w:jc w:val="both"/>
        <w:rPr>
          <w:rFonts w:ascii="Bookman Old Style" w:hAnsi="Bookman Old Style"/>
          <w:sz w:val="24"/>
          <w:szCs w:val="24"/>
        </w:rPr>
      </w:pPr>
    </w:p>
    <w:p w14:paraId="0CD5EC31" w14:textId="77777777" w:rsidR="006F4B68" w:rsidRPr="002D3598" w:rsidRDefault="006F4B68" w:rsidP="00480C2B">
      <w:pPr>
        <w:spacing w:after="0" w:line="240" w:lineRule="auto"/>
        <w:jc w:val="both"/>
        <w:rPr>
          <w:rFonts w:ascii="Bookman Old Style" w:hAnsi="Bookman Old Style"/>
          <w:sz w:val="24"/>
          <w:szCs w:val="24"/>
        </w:rPr>
      </w:pPr>
    </w:p>
    <w:p w14:paraId="1DFC1419" w14:textId="35C93CED" w:rsidR="002003BF" w:rsidRPr="002D3598" w:rsidRDefault="00D10112" w:rsidP="006F4B68">
      <w:pPr>
        <w:pStyle w:val="ListParagraph"/>
        <w:numPr>
          <w:ilvl w:val="0"/>
          <w:numId w:val="37"/>
        </w:numPr>
        <w:spacing w:after="0" w:line="240" w:lineRule="auto"/>
        <w:jc w:val="both"/>
        <w:rPr>
          <w:rFonts w:ascii="Bookman Old Style" w:hAnsi="Bookman Old Style"/>
          <w:b/>
          <w:bCs/>
          <w:sz w:val="24"/>
          <w:szCs w:val="24"/>
        </w:rPr>
      </w:pPr>
      <w:r w:rsidRPr="002D3598">
        <w:rPr>
          <w:rFonts w:ascii="Bookman Old Style" w:hAnsi="Bookman Old Style"/>
          <w:b/>
          <w:sz w:val="24"/>
        </w:rPr>
        <w:t xml:space="preserve">DECISÃO SUBMETIDA À CONSIDERAÇÃO DA </w:t>
      </w:r>
      <w:r w:rsidR="00670996" w:rsidRPr="002D3598">
        <w:rPr>
          <w:rFonts w:ascii="Bookman Old Style" w:hAnsi="Bookman Old Style"/>
          <w:b/>
          <w:sz w:val="24"/>
        </w:rPr>
        <w:t>ASSEMBLEIA PLENÁRIA</w:t>
      </w:r>
    </w:p>
    <w:p w14:paraId="483CDAF0" w14:textId="334FF879" w:rsidR="00680EF6" w:rsidRPr="002D3598" w:rsidRDefault="00D10112" w:rsidP="002003BF">
      <w:pPr>
        <w:pStyle w:val="ListParagraph"/>
        <w:spacing w:after="0" w:line="240" w:lineRule="auto"/>
        <w:ind w:left="709"/>
        <w:jc w:val="both"/>
        <w:rPr>
          <w:rFonts w:ascii="Bookman Old Style" w:hAnsi="Bookman Old Style"/>
          <w:b/>
          <w:bCs/>
          <w:sz w:val="24"/>
          <w:szCs w:val="24"/>
        </w:rPr>
      </w:pPr>
      <w:r w:rsidRPr="002D3598">
        <w:rPr>
          <w:rFonts w:ascii="Bookman Old Style" w:hAnsi="Bookman Old Style"/>
          <w:b/>
          <w:sz w:val="24"/>
        </w:rPr>
        <w:t xml:space="preserve"> </w:t>
      </w:r>
    </w:p>
    <w:p w14:paraId="13C7886A" w14:textId="7DEDD6F3" w:rsidR="00680EF6" w:rsidRPr="008040EC" w:rsidRDefault="008E4B09" w:rsidP="00282E2F">
      <w:pPr>
        <w:pStyle w:val="ListParagraph"/>
        <w:spacing w:after="0" w:line="240" w:lineRule="auto"/>
        <w:ind w:left="709"/>
        <w:jc w:val="both"/>
        <w:rPr>
          <w:rFonts w:ascii="Bookman Old Style" w:hAnsi="Bookman Old Style"/>
          <w:sz w:val="24"/>
          <w:szCs w:val="24"/>
        </w:rPr>
      </w:pPr>
      <w:r w:rsidRPr="002D3598">
        <w:rPr>
          <w:rFonts w:ascii="Bookman Old Style" w:hAnsi="Bookman Old Style"/>
          <w:b/>
          <w:sz w:val="24"/>
        </w:rPr>
        <w:t xml:space="preserve">A </w:t>
      </w:r>
      <w:r w:rsidR="00670996" w:rsidRPr="002D3598">
        <w:rPr>
          <w:rFonts w:ascii="Bookman Old Style" w:hAnsi="Bookman Old Style"/>
          <w:b/>
          <w:bCs/>
          <w:color w:val="282828"/>
          <w:sz w:val="24"/>
          <w:shd w:val="clear" w:color="auto" w:fill="FFFFFF"/>
        </w:rPr>
        <w:t>Assembleia Plenária</w:t>
      </w:r>
      <w:r w:rsidRPr="002D3598">
        <w:rPr>
          <w:rFonts w:ascii="Bookman Old Style" w:hAnsi="Bookman Old Style"/>
          <w:b/>
          <w:sz w:val="24"/>
        </w:rPr>
        <w:t xml:space="preserve"> é convidada a analisar e aprovar</w:t>
      </w:r>
      <w:r>
        <w:rPr>
          <w:rFonts w:ascii="Bookman Old Style" w:hAnsi="Bookman Old Style"/>
          <w:b/>
          <w:sz w:val="24"/>
        </w:rPr>
        <w:t xml:space="preserve"> o orçamento </w:t>
      </w:r>
      <w:r w:rsidR="000B7996">
        <w:rPr>
          <w:rFonts w:ascii="Bookman Old Style" w:hAnsi="Bookman Old Style"/>
          <w:b/>
          <w:sz w:val="24"/>
        </w:rPr>
        <w:t>d</w:t>
      </w:r>
      <w:r>
        <w:rPr>
          <w:rFonts w:ascii="Bookman Old Style" w:hAnsi="Bookman Old Style"/>
          <w:b/>
          <w:sz w:val="24"/>
        </w:rPr>
        <w:t>o exercício financeiro de 1 de Abril de 2023 a 31 de Março de 2024</w:t>
      </w:r>
      <w:r w:rsidR="00D34545">
        <w:rPr>
          <w:rFonts w:ascii="Bookman Old Style" w:hAnsi="Bookman Old Style"/>
          <w:b/>
          <w:sz w:val="24"/>
        </w:rPr>
        <w:t>.</w:t>
      </w:r>
      <w:r>
        <w:rPr>
          <w:rFonts w:ascii="Bookman Old Style" w:hAnsi="Bookman Old Style"/>
          <w:b/>
          <w:sz w:val="24"/>
        </w:rPr>
        <w:t xml:space="preserve"> </w:t>
      </w:r>
    </w:p>
    <w:p w14:paraId="51F18C04" w14:textId="77777777" w:rsidR="00282E2F" w:rsidRPr="008040EC" w:rsidRDefault="00282E2F" w:rsidP="002003BF">
      <w:pPr>
        <w:tabs>
          <w:tab w:val="left" w:pos="450"/>
        </w:tabs>
        <w:spacing w:after="0" w:line="240" w:lineRule="auto"/>
        <w:ind w:left="709"/>
        <w:jc w:val="both"/>
        <w:rPr>
          <w:rFonts w:ascii="Bookman Old Style" w:hAnsi="Bookman Old Style"/>
          <w:sz w:val="24"/>
          <w:szCs w:val="24"/>
        </w:rPr>
      </w:pPr>
    </w:p>
    <w:p w14:paraId="7D53A90E" w14:textId="7B7BA839" w:rsidR="008357A8" w:rsidRDefault="008357A8" w:rsidP="002003BF">
      <w:pPr>
        <w:tabs>
          <w:tab w:val="left" w:pos="450"/>
        </w:tabs>
        <w:spacing w:after="0" w:line="240" w:lineRule="auto"/>
        <w:ind w:left="709"/>
        <w:jc w:val="both"/>
        <w:rPr>
          <w:rFonts w:ascii="Bookman Old Style" w:hAnsi="Bookman Old Style"/>
          <w:sz w:val="24"/>
        </w:rPr>
      </w:pPr>
      <w:r>
        <w:rPr>
          <w:rFonts w:ascii="Bookman Old Style" w:hAnsi="Bookman Old Style"/>
          <w:sz w:val="24"/>
        </w:rPr>
        <w:t>Anexos:</w:t>
      </w:r>
    </w:p>
    <w:p w14:paraId="70594192" w14:textId="77777777" w:rsidR="00B86939" w:rsidRPr="008040EC" w:rsidRDefault="00B86939" w:rsidP="002003BF">
      <w:pPr>
        <w:tabs>
          <w:tab w:val="left" w:pos="450"/>
        </w:tabs>
        <w:spacing w:after="0" w:line="240" w:lineRule="auto"/>
        <w:ind w:left="709"/>
        <w:jc w:val="both"/>
        <w:rPr>
          <w:rFonts w:ascii="Bookman Old Style" w:hAnsi="Bookman Old Style"/>
          <w:sz w:val="24"/>
          <w:szCs w:val="24"/>
        </w:rPr>
      </w:pPr>
    </w:p>
    <w:p w14:paraId="289B1669" w14:textId="7D4FB208" w:rsidR="008357A8" w:rsidRPr="008040EC" w:rsidRDefault="002B7286" w:rsidP="00B86939">
      <w:pPr>
        <w:pStyle w:val="ListParagraph"/>
        <w:numPr>
          <w:ilvl w:val="0"/>
          <w:numId w:val="16"/>
        </w:numPr>
        <w:tabs>
          <w:tab w:val="left" w:pos="450"/>
        </w:tabs>
        <w:spacing w:after="0" w:line="240" w:lineRule="auto"/>
        <w:ind w:left="993" w:hanging="284"/>
        <w:jc w:val="both"/>
        <w:rPr>
          <w:rFonts w:ascii="Bookman Old Style" w:hAnsi="Bookman Old Style"/>
          <w:sz w:val="24"/>
          <w:szCs w:val="24"/>
        </w:rPr>
      </w:pPr>
      <w:r>
        <w:rPr>
          <w:rFonts w:ascii="Bookman Old Style" w:hAnsi="Bookman Old Style"/>
          <w:sz w:val="24"/>
        </w:rPr>
        <w:t xml:space="preserve">Anexo BOO1: Resumo do Orçamento </w:t>
      </w:r>
    </w:p>
    <w:p w14:paraId="22844D82" w14:textId="3995FD69" w:rsidR="005018B6" w:rsidRPr="008040EC" w:rsidRDefault="005018B6" w:rsidP="00B86939">
      <w:pPr>
        <w:pStyle w:val="ListParagraph"/>
        <w:numPr>
          <w:ilvl w:val="0"/>
          <w:numId w:val="14"/>
        </w:numPr>
        <w:tabs>
          <w:tab w:val="left" w:pos="450"/>
        </w:tabs>
        <w:spacing w:after="0" w:line="240" w:lineRule="auto"/>
        <w:ind w:left="993" w:hanging="284"/>
        <w:jc w:val="both"/>
        <w:rPr>
          <w:rFonts w:ascii="Bookman Old Style" w:hAnsi="Bookman Old Style"/>
          <w:sz w:val="24"/>
          <w:szCs w:val="24"/>
        </w:rPr>
      </w:pPr>
      <w:r>
        <w:rPr>
          <w:rFonts w:ascii="Bookman Old Style" w:hAnsi="Bookman Old Style"/>
          <w:sz w:val="24"/>
        </w:rPr>
        <w:t>Anexo B002: Demonstração do Fluxo de Caixa Projectado de 1 de Abril de 2023 a 31 de Março de 2024</w:t>
      </w:r>
    </w:p>
    <w:p w14:paraId="6F472473" w14:textId="69B50A67" w:rsidR="00680EF6" w:rsidRPr="007127D4" w:rsidRDefault="008357A8" w:rsidP="00B86939">
      <w:pPr>
        <w:pStyle w:val="ListParagraph"/>
        <w:numPr>
          <w:ilvl w:val="0"/>
          <w:numId w:val="14"/>
        </w:numPr>
        <w:tabs>
          <w:tab w:val="left" w:pos="450"/>
        </w:tabs>
        <w:spacing w:after="0" w:line="240" w:lineRule="auto"/>
        <w:ind w:left="993" w:hanging="284"/>
        <w:jc w:val="both"/>
        <w:rPr>
          <w:rFonts w:ascii="Bookman Old Style" w:eastAsia="Times New Roman" w:hAnsi="Bookman Old Style" w:cs="Times New Roman"/>
          <w:bCs/>
          <w:iCs/>
          <w:color w:val="000000"/>
          <w:sz w:val="24"/>
          <w:szCs w:val="24"/>
        </w:rPr>
      </w:pPr>
      <w:r>
        <w:rPr>
          <w:rFonts w:ascii="Bookman Old Style" w:hAnsi="Bookman Old Style"/>
          <w:sz w:val="24"/>
        </w:rPr>
        <w:t>Mapas A a C e 1 a 20:</w:t>
      </w:r>
      <w:r>
        <w:rPr>
          <w:rFonts w:ascii="Bookman Old Style" w:hAnsi="Bookman Old Style"/>
          <w:b/>
          <w:color w:val="000000"/>
          <w:sz w:val="24"/>
        </w:rPr>
        <w:t xml:space="preserve"> </w:t>
      </w:r>
      <w:r>
        <w:rPr>
          <w:rFonts w:ascii="Bookman Old Style" w:hAnsi="Bookman Old Style"/>
          <w:sz w:val="24"/>
        </w:rPr>
        <w:t>Mapas detalhados dos orçamentos</w:t>
      </w:r>
    </w:p>
    <w:sectPr w:rsidR="00680EF6" w:rsidRPr="007127D4" w:rsidSect="00480C2B">
      <w:headerReference w:type="default" r:id="rId12"/>
      <w:footerReference w:type="default" r:id="rId13"/>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1BF8" w14:textId="77777777" w:rsidR="00B70DCB" w:rsidRDefault="00B70DCB" w:rsidP="00441DE4">
      <w:pPr>
        <w:spacing w:after="0" w:line="240" w:lineRule="auto"/>
      </w:pPr>
      <w:r>
        <w:separator/>
      </w:r>
    </w:p>
  </w:endnote>
  <w:endnote w:type="continuationSeparator" w:id="0">
    <w:p w14:paraId="2ECEAC20" w14:textId="77777777" w:rsidR="00B70DCB" w:rsidRDefault="00B70DCB" w:rsidP="0044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venir Heavy">
    <w:altName w:val="Cambria"/>
    <w:charset w:val="00"/>
    <w:family w:val="roman"/>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15516"/>
      <w:docPartObj>
        <w:docPartGallery w:val="Page Numbers (Bottom of Page)"/>
        <w:docPartUnique/>
      </w:docPartObj>
    </w:sdtPr>
    <w:sdtEndPr/>
    <w:sdtContent>
      <w:sdt>
        <w:sdtPr>
          <w:id w:val="1728636285"/>
          <w:docPartObj>
            <w:docPartGallery w:val="Page Numbers (Top of Page)"/>
            <w:docPartUnique/>
          </w:docPartObj>
        </w:sdtPr>
        <w:sdtEndPr/>
        <w:sdtContent>
          <w:p w14:paraId="69CE197F" w14:textId="626D249C" w:rsidR="00182F61" w:rsidRDefault="00182F61">
            <w:pPr>
              <w:pStyle w:val="Footer"/>
              <w:jc w:val="center"/>
            </w:pPr>
            <w:r>
              <w:t xml:space="preserve">Página </w:t>
            </w:r>
            <w:r>
              <w:rPr>
                <w:b/>
                <w:sz w:val="24"/>
              </w:rPr>
              <w:fldChar w:fldCharType="begin"/>
            </w:r>
            <w:r>
              <w:rPr>
                <w:b/>
              </w:rPr>
              <w:instrText xml:space="preserve"> PAGE </w:instrText>
            </w:r>
            <w:r>
              <w:rPr>
                <w:b/>
                <w:sz w:val="24"/>
              </w:rPr>
              <w:fldChar w:fldCharType="separate"/>
            </w:r>
            <w:r>
              <w:rPr>
                <w:b/>
              </w:rPr>
              <w:t>9</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9</w:t>
            </w:r>
            <w:r>
              <w:rPr>
                <w:b/>
                <w:sz w:val="24"/>
              </w:rPr>
              <w:fldChar w:fldCharType="end"/>
            </w:r>
          </w:p>
        </w:sdtContent>
      </w:sdt>
    </w:sdtContent>
  </w:sdt>
  <w:p w14:paraId="22B50F7B" w14:textId="77777777" w:rsidR="00182F61" w:rsidRDefault="0018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A206" w14:textId="77777777" w:rsidR="00B70DCB" w:rsidRDefault="00B70DCB" w:rsidP="00441DE4">
      <w:pPr>
        <w:spacing w:after="0" w:line="240" w:lineRule="auto"/>
      </w:pPr>
      <w:r>
        <w:separator/>
      </w:r>
    </w:p>
  </w:footnote>
  <w:footnote w:type="continuationSeparator" w:id="0">
    <w:p w14:paraId="29F689B3" w14:textId="77777777" w:rsidR="00B70DCB" w:rsidRDefault="00B70DCB" w:rsidP="0044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ECCC" w14:textId="67B39000" w:rsidR="001F1C0D" w:rsidRPr="001F1C0D" w:rsidRDefault="001F1C0D" w:rsidP="001F1C0D">
    <w:pPr>
      <w:pStyle w:val="Header"/>
      <w:jc w:val="right"/>
      <w:rPr>
        <w:rFonts w:ascii="Bookman Old Style" w:hAnsi="Bookman Old Style"/>
        <w:i/>
        <w:iCs/>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3833"/>
    <w:multiLevelType w:val="multilevel"/>
    <w:tmpl w:val="9AE4B91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2904EB"/>
    <w:multiLevelType w:val="hybridMultilevel"/>
    <w:tmpl w:val="535C570C"/>
    <w:lvl w:ilvl="0" w:tplc="DA00F276">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9237FD7"/>
    <w:multiLevelType w:val="hybridMultilevel"/>
    <w:tmpl w:val="DE76DFFA"/>
    <w:lvl w:ilvl="0" w:tplc="3F5AD9B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9E7E63"/>
    <w:multiLevelType w:val="hybridMultilevel"/>
    <w:tmpl w:val="7E8E96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DE1682"/>
    <w:multiLevelType w:val="hybridMultilevel"/>
    <w:tmpl w:val="666A8722"/>
    <w:lvl w:ilvl="0" w:tplc="085E4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63995"/>
    <w:multiLevelType w:val="multilevel"/>
    <w:tmpl w:val="AB7E7F94"/>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726989"/>
    <w:multiLevelType w:val="multilevel"/>
    <w:tmpl w:val="EAD8ECBC"/>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BF7F7B"/>
    <w:multiLevelType w:val="hybridMultilevel"/>
    <w:tmpl w:val="BED2156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2A500C4A"/>
    <w:multiLevelType w:val="multilevel"/>
    <w:tmpl w:val="6ADE4D5C"/>
    <w:lvl w:ilvl="0">
      <w:start w:val="5"/>
      <w:numFmt w:val="decimal"/>
      <w:lvlText w:val="%1"/>
      <w:lvlJc w:val="left"/>
      <w:pPr>
        <w:ind w:left="591" w:hanging="591"/>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791676"/>
    <w:multiLevelType w:val="multilevel"/>
    <w:tmpl w:val="C4267FD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B00379A"/>
    <w:multiLevelType w:val="multilevel"/>
    <w:tmpl w:val="A2AC375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58D6D1A"/>
    <w:multiLevelType w:val="multilevel"/>
    <w:tmpl w:val="B314982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7597393"/>
    <w:multiLevelType w:val="hybridMultilevel"/>
    <w:tmpl w:val="17685E34"/>
    <w:lvl w:ilvl="0" w:tplc="F912BED8">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B106AA6"/>
    <w:multiLevelType w:val="hybridMultilevel"/>
    <w:tmpl w:val="3BB87722"/>
    <w:lvl w:ilvl="0" w:tplc="7BF603B2">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4E5E2B9B"/>
    <w:multiLevelType w:val="multilevel"/>
    <w:tmpl w:val="3296FB2C"/>
    <w:lvl w:ilvl="0">
      <w:start w:val="6"/>
      <w:numFmt w:val="decimal"/>
      <w:lvlText w:val="%1"/>
      <w:lvlJc w:val="left"/>
      <w:pPr>
        <w:ind w:left="591" w:hanging="591"/>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507E58"/>
    <w:multiLevelType w:val="hybridMultilevel"/>
    <w:tmpl w:val="E1F4E03A"/>
    <w:lvl w:ilvl="0" w:tplc="D7683984">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50F622C8"/>
    <w:multiLevelType w:val="hybridMultilevel"/>
    <w:tmpl w:val="35D0EF66"/>
    <w:lvl w:ilvl="0" w:tplc="FDCE6AF2">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532E58E8"/>
    <w:multiLevelType w:val="hybridMultilevel"/>
    <w:tmpl w:val="5362566E"/>
    <w:lvl w:ilvl="0" w:tplc="76A4F9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400585"/>
    <w:multiLevelType w:val="multilevel"/>
    <w:tmpl w:val="0282A318"/>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D25C87"/>
    <w:multiLevelType w:val="multilevel"/>
    <w:tmpl w:val="BBF671E8"/>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000AC1"/>
    <w:multiLevelType w:val="hybridMultilevel"/>
    <w:tmpl w:val="73923B0C"/>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5B7C6070"/>
    <w:multiLevelType w:val="multilevel"/>
    <w:tmpl w:val="D7FEB26C"/>
    <w:lvl w:ilvl="0">
      <w:start w:val="1"/>
      <w:numFmt w:val="decimal"/>
      <w:lvlText w:val="%1.0"/>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62151D6B"/>
    <w:multiLevelType w:val="hybridMultilevel"/>
    <w:tmpl w:val="479C780A"/>
    <w:lvl w:ilvl="0" w:tplc="0BE80F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73DAC"/>
    <w:multiLevelType w:val="multilevel"/>
    <w:tmpl w:val="763EBDB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5C61F26"/>
    <w:multiLevelType w:val="hybridMultilevel"/>
    <w:tmpl w:val="5002ED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69DC6D30"/>
    <w:multiLevelType w:val="multilevel"/>
    <w:tmpl w:val="5D783B84"/>
    <w:lvl w:ilvl="0">
      <w:start w:val="1"/>
      <w:numFmt w:val="decimal"/>
      <w:lvlText w:val="%1.0."/>
      <w:lvlJc w:val="left"/>
      <w:pPr>
        <w:ind w:left="862" w:hanging="72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AEC3F79"/>
    <w:multiLevelType w:val="multilevel"/>
    <w:tmpl w:val="A29E2674"/>
    <w:lvl w:ilvl="0">
      <w:start w:val="5"/>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0B778E1"/>
    <w:multiLevelType w:val="multilevel"/>
    <w:tmpl w:val="EAD8ECBC"/>
    <w:lvl w:ilvl="0">
      <w:start w:val="6"/>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9E0554"/>
    <w:multiLevelType w:val="multilevel"/>
    <w:tmpl w:val="08A88E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39E51FB"/>
    <w:multiLevelType w:val="multilevel"/>
    <w:tmpl w:val="8ED407E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72639F5"/>
    <w:multiLevelType w:val="multilevel"/>
    <w:tmpl w:val="4288D040"/>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7FE16F8"/>
    <w:multiLevelType w:val="multilevel"/>
    <w:tmpl w:val="CFEAD140"/>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54130B"/>
    <w:multiLevelType w:val="hybridMultilevel"/>
    <w:tmpl w:val="8F88CAE6"/>
    <w:lvl w:ilvl="0" w:tplc="04090005">
      <w:start w:val="1"/>
      <w:numFmt w:val="bullet"/>
      <w:lvlText w:val=""/>
      <w:lvlJc w:val="left"/>
      <w:pPr>
        <w:ind w:left="2610" w:hanging="360"/>
      </w:pPr>
      <w:rPr>
        <w:rFonts w:ascii="Wingdings" w:hAnsi="Wingdings" w:hint="default"/>
      </w:rPr>
    </w:lvl>
    <w:lvl w:ilvl="1" w:tplc="08090003" w:tentative="1">
      <w:start w:val="1"/>
      <w:numFmt w:val="bullet"/>
      <w:lvlText w:val="o"/>
      <w:lvlJc w:val="left"/>
      <w:pPr>
        <w:ind w:left="3330" w:hanging="360"/>
      </w:pPr>
      <w:rPr>
        <w:rFonts w:ascii="Courier New" w:hAnsi="Courier New" w:cs="Courier New" w:hint="default"/>
      </w:rPr>
    </w:lvl>
    <w:lvl w:ilvl="2" w:tplc="08090005" w:tentative="1">
      <w:start w:val="1"/>
      <w:numFmt w:val="bullet"/>
      <w:lvlText w:val=""/>
      <w:lvlJc w:val="left"/>
      <w:pPr>
        <w:ind w:left="4050" w:hanging="360"/>
      </w:pPr>
      <w:rPr>
        <w:rFonts w:ascii="Wingdings" w:hAnsi="Wingdings" w:hint="default"/>
      </w:rPr>
    </w:lvl>
    <w:lvl w:ilvl="3" w:tplc="08090001" w:tentative="1">
      <w:start w:val="1"/>
      <w:numFmt w:val="bullet"/>
      <w:lvlText w:val=""/>
      <w:lvlJc w:val="left"/>
      <w:pPr>
        <w:ind w:left="4770" w:hanging="360"/>
      </w:pPr>
      <w:rPr>
        <w:rFonts w:ascii="Symbol" w:hAnsi="Symbol" w:hint="default"/>
      </w:rPr>
    </w:lvl>
    <w:lvl w:ilvl="4" w:tplc="08090003" w:tentative="1">
      <w:start w:val="1"/>
      <w:numFmt w:val="bullet"/>
      <w:lvlText w:val="o"/>
      <w:lvlJc w:val="left"/>
      <w:pPr>
        <w:ind w:left="5490" w:hanging="360"/>
      </w:pPr>
      <w:rPr>
        <w:rFonts w:ascii="Courier New" w:hAnsi="Courier New" w:cs="Courier New" w:hint="default"/>
      </w:rPr>
    </w:lvl>
    <w:lvl w:ilvl="5" w:tplc="08090005" w:tentative="1">
      <w:start w:val="1"/>
      <w:numFmt w:val="bullet"/>
      <w:lvlText w:val=""/>
      <w:lvlJc w:val="left"/>
      <w:pPr>
        <w:ind w:left="6210" w:hanging="360"/>
      </w:pPr>
      <w:rPr>
        <w:rFonts w:ascii="Wingdings" w:hAnsi="Wingdings" w:hint="default"/>
      </w:rPr>
    </w:lvl>
    <w:lvl w:ilvl="6" w:tplc="08090001" w:tentative="1">
      <w:start w:val="1"/>
      <w:numFmt w:val="bullet"/>
      <w:lvlText w:val=""/>
      <w:lvlJc w:val="left"/>
      <w:pPr>
        <w:ind w:left="6930" w:hanging="360"/>
      </w:pPr>
      <w:rPr>
        <w:rFonts w:ascii="Symbol" w:hAnsi="Symbol" w:hint="default"/>
      </w:rPr>
    </w:lvl>
    <w:lvl w:ilvl="7" w:tplc="08090003" w:tentative="1">
      <w:start w:val="1"/>
      <w:numFmt w:val="bullet"/>
      <w:lvlText w:val="o"/>
      <w:lvlJc w:val="left"/>
      <w:pPr>
        <w:ind w:left="7650" w:hanging="360"/>
      </w:pPr>
      <w:rPr>
        <w:rFonts w:ascii="Courier New" w:hAnsi="Courier New" w:cs="Courier New" w:hint="default"/>
      </w:rPr>
    </w:lvl>
    <w:lvl w:ilvl="8" w:tplc="08090005" w:tentative="1">
      <w:start w:val="1"/>
      <w:numFmt w:val="bullet"/>
      <w:lvlText w:val=""/>
      <w:lvlJc w:val="left"/>
      <w:pPr>
        <w:ind w:left="8370" w:hanging="360"/>
      </w:pPr>
      <w:rPr>
        <w:rFonts w:ascii="Wingdings" w:hAnsi="Wingdings" w:hint="default"/>
      </w:rPr>
    </w:lvl>
  </w:abstractNum>
  <w:abstractNum w:abstractNumId="33" w15:restartNumberingAfterBreak="0">
    <w:nsid w:val="79352E03"/>
    <w:multiLevelType w:val="multilevel"/>
    <w:tmpl w:val="DBF02CA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3D4648"/>
    <w:multiLevelType w:val="multilevel"/>
    <w:tmpl w:val="04C8D22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B4E21B2"/>
    <w:multiLevelType w:val="hybridMultilevel"/>
    <w:tmpl w:val="99108894"/>
    <w:lvl w:ilvl="0" w:tplc="F836D720">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7C673C43"/>
    <w:multiLevelType w:val="hybridMultilevel"/>
    <w:tmpl w:val="13F85260"/>
    <w:lvl w:ilvl="0" w:tplc="7BF603B2">
      <w:start w:val="1"/>
      <w:numFmt w:val="bullet"/>
      <w:lvlText w:val=""/>
      <w:lvlJc w:val="left"/>
      <w:pPr>
        <w:ind w:left="720" w:hanging="360"/>
      </w:pPr>
      <w:rPr>
        <w:rFonts w:ascii="Wingdings" w:hAnsi="Wingdings" w:hint="default"/>
      </w:rPr>
    </w:lvl>
    <w:lvl w:ilvl="1" w:tplc="A050BC60">
      <w:start w:val="1"/>
      <w:numFmt w:val="bullet"/>
      <w:lvlText w:val="−"/>
      <w:lvlJc w:val="left"/>
      <w:pPr>
        <w:ind w:left="1440" w:hanging="360"/>
      </w:pPr>
      <w:rPr>
        <w:rFonts w:ascii="Berlin Sans FB" w:hAnsi="Berlin Sans FB" w:hint="default"/>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A723C"/>
    <w:multiLevelType w:val="multilevel"/>
    <w:tmpl w:val="BC6CF17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DB010F6"/>
    <w:multiLevelType w:val="multilevel"/>
    <w:tmpl w:val="D8D861A8"/>
    <w:lvl w:ilvl="0">
      <w:start w:val="5"/>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num w:numId="1">
    <w:abstractNumId w:val="21"/>
  </w:num>
  <w:num w:numId="2">
    <w:abstractNumId w:val="22"/>
  </w:num>
  <w:num w:numId="3">
    <w:abstractNumId w:val="4"/>
  </w:num>
  <w:num w:numId="4">
    <w:abstractNumId w:val="32"/>
  </w:num>
  <w:num w:numId="5">
    <w:abstractNumId w:val="17"/>
  </w:num>
  <w:num w:numId="6">
    <w:abstractNumId w:val="37"/>
  </w:num>
  <w:num w:numId="7">
    <w:abstractNumId w:val="35"/>
  </w:num>
  <w:num w:numId="8">
    <w:abstractNumId w:val="3"/>
  </w:num>
  <w:num w:numId="9">
    <w:abstractNumId w:val="33"/>
  </w:num>
  <w:num w:numId="10">
    <w:abstractNumId w:val="30"/>
  </w:num>
  <w:num w:numId="11">
    <w:abstractNumId w:val="5"/>
  </w:num>
  <w:num w:numId="12">
    <w:abstractNumId w:val="19"/>
  </w:num>
  <w:num w:numId="13">
    <w:abstractNumId w:val="29"/>
  </w:num>
  <w:num w:numId="14">
    <w:abstractNumId w:val="24"/>
  </w:num>
  <w:num w:numId="15">
    <w:abstractNumId w:val="25"/>
  </w:num>
  <w:num w:numId="16">
    <w:abstractNumId w:val="7"/>
  </w:num>
  <w:num w:numId="17">
    <w:abstractNumId w:val="13"/>
  </w:num>
  <w:num w:numId="18">
    <w:abstractNumId w:val="36"/>
  </w:num>
  <w:num w:numId="19">
    <w:abstractNumId w:val="12"/>
  </w:num>
  <w:num w:numId="20">
    <w:abstractNumId w:val="6"/>
  </w:num>
  <w:num w:numId="21">
    <w:abstractNumId w:val="16"/>
  </w:num>
  <w:num w:numId="22">
    <w:abstractNumId w:val="20"/>
  </w:num>
  <w:num w:numId="23">
    <w:abstractNumId w:val="2"/>
  </w:num>
  <w:num w:numId="24">
    <w:abstractNumId w:val="15"/>
  </w:num>
  <w:num w:numId="25">
    <w:abstractNumId w:val="1"/>
  </w:num>
  <w:num w:numId="26">
    <w:abstractNumId w:val="28"/>
  </w:num>
  <w:num w:numId="27">
    <w:abstractNumId w:val="10"/>
  </w:num>
  <w:num w:numId="28">
    <w:abstractNumId w:val="31"/>
  </w:num>
  <w:num w:numId="29">
    <w:abstractNumId w:val="9"/>
  </w:num>
  <w:num w:numId="30">
    <w:abstractNumId w:val="0"/>
  </w:num>
  <w:num w:numId="31">
    <w:abstractNumId w:val="38"/>
  </w:num>
  <w:num w:numId="32">
    <w:abstractNumId w:val="34"/>
  </w:num>
  <w:num w:numId="33">
    <w:abstractNumId w:val="18"/>
  </w:num>
  <w:num w:numId="34">
    <w:abstractNumId w:val="26"/>
  </w:num>
  <w:num w:numId="35">
    <w:abstractNumId w:val="11"/>
  </w:num>
  <w:num w:numId="36">
    <w:abstractNumId w:val="27"/>
  </w:num>
  <w:num w:numId="37">
    <w:abstractNumId w:val="23"/>
  </w:num>
  <w:num w:numId="38">
    <w:abstractNumId w:val="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437"/>
    <w:rsid w:val="00002104"/>
    <w:rsid w:val="000031C7"/>
    <w:rsid w:val="00004E8B"/>
    <w:rsid w:val="00004F0A"/>
    <w:rsid w:val="00005FDA"/>
    <w:rsid w:val="00012615"/>
    <w:rsid w:val="0001433E"/>
    <w:rsid w:val="00014611"/>
    <w:rsid w:val="000169B8"/>
    <w:rsid w:val="00017AE3"/>
    <w:rsid w:val="00020629"/>
    <w:rsid w:val="0002245F"/>
    <w:rsid w:val="00022882"/>
    <w:rsid w:val="00025C16"/>
    <w:rsid w:val="00026446"/>
    <w:rsid w:val="0002695D"/>
    <w:rsid w:val="00026F5A"/>
    <w:rsid w:val="00027978"/>
    <w:rsid w:val="000320F3"/>
    <w:rsid w:val="000321B1"/>
    <w:rsid w:val="00032833"/>
    <w:rsid w:val="000333C4"/>
    <w:rsid w:val="00033B26"/>
    <w:rsid w:val="000342F5"/>
    <w:rsid w:val="000359BC"/>
    <w:rsid w:val="000430AD"/>
    <w:rsid w:val="00045913"/>
    <w:rsid w:val="00051DF5"/>
    <w:rsid w:val="00052B9A"/>
    <w:rsid w:val="0005737D"/>
    <w:rsid w:val="00057EB5"/>
    <w:rsid w:val="00062689"/>
    <w:rsid w:val="0006311E"/>
    <w:rsid w:val="00065A9A"/>
    <w:rsid w:val="00065BD5"/>
    <w:rsid w:val="00070232"/>
    <w:rsid w:val="00071440"/>
    <w:rsid w:val="00072B56"/>
    <w:rsid w:val="0007672A"/>
    <w:rsid w:val="00076885"/>
    <w:rsid w:val="00077178"/>
    <w:rsid w:val="000779E3"/>
    <w:rsid w:val="00077A84"/>
    <w:rsid w:val="00077EA8"/>
    <w:rsid w:val="00081A66"/>
    <w:rsid w:val="000866C0"/>
    <w:rsid w:val="00090120"/>
    <w:rsid w:val="00090675"/>
    <w:rsid w:val="00092843"/>
    <w:rsid w:val="00092F5F"/>
    <w:rsid w:val="0009466C"/>
    <w:rsid w:val="00095022"/>
    <w:rsid w:val="00096C41"/>
    <w:rsid w:val="000A1CCA"/>
    <w:rsid w:val="000B12B2"/>
    <w:rsid w:val="000B2392"/>
    <w:rsid w:val="000B3790"/>
    <w:rsid w:val="000B4B8D"/>
    <w:rsid w:val="000B601F"/>
    <w:rsid w:val="000B60B8"/>
    <w:rsid w:val="000B6559"/>
    <w:rsid w:val="000B6ED6"/>
    <w:rsid w:val="000B7996"/>
    <w:rsid w:val="000C090A"/>
    <w:rsid w:val="000C19CB"/>
    <w:rsid w:val="000C1D2D"/>
    <w:rsid w:val="000C3F3F"/>
    <w:rsid w:val="000C566A"/>
    <w:rsid w:val="000C587D"/>
    <w:rsid w:val="000C624B"/>
    <w:rsid w:val="000C728B"/>
    <w:rsid w:val="000C7839"/>
    <w:rsid w:val="000D1FDA"/>
    <w:rsid w:val="000D223C"/>
    <w:rsid w:val="000D3CDE"/>
    <w:rsid w:val="000D5A89"/>
    <w:rsid w:val="000D6B42"/>
    <w:rsid w:val="000D7334"/>
    <w:rsid w:val="000E0BCE"/>
    <w:rsid w:val="000E156D"/>
    <w:rsid w:val="000E3216"/>
    <w:rsid w:val="000E32A8"/>
    <w:rsid w:val="000E5436"/>
    <w:rsid w:val="000E7DD0"/>
    <w:rsid w:val="000F07D8"/>
    <w:rsid w:val="000F607F"/>
    <w:rsid w:val="00102239"/>
    <w:rsid w:val="001030C6"/>
    <w:rsid w:val="00103234"/>
    <w:rsid w:val="001033B9"/>
    <w:rsid w:val="001061D5"/>
    <w:rsid w:val="0010633E"/>
    <w:rsid w:val="00110944"/>
    <w:rsid w:val="0011293D"/>
    <w:rsid w:val="001134DD"/>
    <w:rsid w:val="00114D60"/>
    <w:rsid w:val="0011511D"/>
    <w:rsid w:val="00115ABB"/>
    <w:rsid w:val="00117734"/>
    <w:rsid w:val="00117ACE"/>
    <w:rsid w:val="001211B6"/>
    <w:rsid w:val="00124BD8"/>
    <w:rsid w:val="001304F9"/>
    <w:rsid w:val="001366E6"/>
    <w:rsid w:val="00141ED7"/>
    <w:rsid w:val="00143EF9"/>
    <w:rsid w:val="0014441C"/>
    <w:rsid w:val="00144C77"/>
    <w:rsid w:val="00146399"/>
    <w:rsid w:val="001464E6"/>
    <w:rsid w:val="0015078A"/>
    <w:rsid w:val="00151AA4"/>
    <w:rsid w:val="00151DC1"/>
    <w:rsid w:val="00153A43"/>
    <w:rsid w:val="00154E3A"/>
    <w:rsid w:val="001553EA"/>
    <w:rsid w:val="0015582D"/>
    <w:rsid w:val="00155CEA"/>
    <w:rsid w:val="00160C9D"/>
    <w:rsid w:val="00161DC0"/>
    <w:rsid w:val="00162834"/>
    <w:rsid w:val="0016643D"/>
    <w:rsid w:val="00172618"/>
    <w:rsid w:val="001736CF"/>
    <w:rsid w:val="0017557D"/>
    <w:rsid w:val="0018263F"/>
    <w:rsid w:val="00182F61"/>
    <w:rsid w:val="00184ED5"/>
    <w:rsid w:val="0018589D"/>
    <w:rsid w:val="00186171"/>
    <w:rsid w:val="001876B9"/>
    <w:rsid w:val="0018789C"/>
    <w:rsid w:val="00190DB8"/>
    <w:rsid w:val="00191362"/>
    <w:rsid w:val="00191D90"/>
    <w:rsid w:val="001926CF"/>
    <w:rsid w:val="00197483"/>
    <w:rsid w:val="00197835"/>
    <w:rsid w:val="00197867"/>
    <w:rsid w:val="001A105E"/>
    <w:rsid w:val="001A40EA"/>
    <w:rsid w:val="001A56DB"/>
    <w:rsid w:val="001B0035"/>
    <w:rsid w:val="001B0859"/>
    <w:rsid w:val="001B1895"/>
    <w:rsid w:val="001B3057"/>
    <w:rsid w:val="001B44B9"/>
    <w:rsid w:val="001B4763"/>
    <w:rsid w:val="001B6D74"/>
    <w:rsid w:val="001D0D5D"/>
    <w:rsid w:val="001D12F3"/>
    <w:rsid w:val="001D2E42"/>
    <w:rsid w:val="001D3231"/>
    <w:rsid w:val="001D39E8"/>
    <w:rsid w:val="001E2367"/>
    <w:rsid w:val="001E25B9"/>
    <w:rsid w:val="001E3117"/>
    <w:rsid w:val="001E4084"/>
    <w:rsid w:val="001F1C0D"/>
    <w:rsid w:val="001F3A87"/>
    <w:rsid w:val="001F7531"/>
    <w:rsid w:val="002003BF"/>
    <w:rsid w:val="00200A52"/>
    <w:rsid w:val="00201ECE"/>
    <w:rsid w:val="00202D8D"/>
    <w:rsid w:val="00207C85"/>
    <w:rsid w:val="00207D68"/>
    <w:rsid w:val="002110BA"/>
    <w:rsid w:val="00212F31"/>
    <w:rsid w:val="00214C44"/>
    <w:rsid w:val="00214EAD"/>
    <w:rsid w:val="00215EAA"/>
    <w:rsid w:val="00215F66"/>
    <w:rsid w:val="0021679C"/>
    <w:rsid w:val="00216DCD"/>
    <w:rsid w:val="00222988"/>
    <w:rsid w:val="00225BFD"/>
    <w:rsid w:val="002263EB"/>
    <w:rsid w:val="00226D76"/>
    <w:rsid w:val="00230015"/>
    <w:rsid w:val="00230D08"/>
    <w:rsid w:val="002336F2"/>
    <w:rsid w:val="0023631F"/>
    <w:rsid w:val="002412BF"/>
    <w:rsid w:val="002445F5"/>
    <w:rsid w:val="002462FE"/>
    <w:rsid w:val="00246D5C"/>
    <w:rsid w:val="00254490"/>
    <w:rsid w:val="00255665"/>
    <w:rsid w:val="00256B4E"/>
    <w:rsid w:val="002579F6"/>
    <w:rsid w:val="00257CED"/>
    <w:rsid w:val="00260276"/>
    <w:rsid w:val="00262C0A"/>
    <w:rsid w:val="0026387B"/>
    <w:rsid w:val="00263943"/>
    <w:rsid w:val="00264258"/>
    <w:rsid w:val="0026593B"/>
    <w:rsid w:val="0027093A"/>
    <w:rsid w:val="0027110E"/>
    <w:rsid w:val="00272350"/>
    <w:rsid w:val="00275747"/>
    <w:rsid w:val="00275AC3"/>
    <w:rsid w:val="00276785"/>
    <w:rsid w:val="00276F44"/>
    <w:rsid w:val="002816B7"/>
    <w:rsid w:val="00282E2F"/>
    <w:rsid w:val="00283DCF"/>
    <w:rsid w:val="002856A6"/>
    <w:rsid w:val="00292EEC"/>
    <w:rsid w:val="0029312D"/>
    <w:rsid w:val="0029433C"/>
    <w:rsid w:val="0029607C"/>
    <w:rsid w:val="00297425"/>
    <w:rsid w:val="002A0130"/>
    <w:rsid w:val="002A042B"/>
    <w:rsid w:val="002A49B3"/>
    <w:rsid w:val="002B0144"/>
    <w:rsid w:val="002B0200"/>
    <w:rsid w:val="002B0BF8"/>
    <w:rsid w:val="002B14D6"/>
    <w:rsid w:val="002B273E"/>
    <w:rsid w:val="002B306C"/>
    <w:rsid w:val="002B4F18"/>
    <w:rsid w:val="002B62DF"/>
    <w:rsid w:val="002B6816"/>
    <w:rsid w:val="002B7051"/>
    <w:rsid w:val="002B71DE"/>
    <w:rsid w:val="002B7286"/>
    <w:rsid w:val="002C4A27"/>
    <w:rsid w:val="002C5EE5"/>
    <w:rsid w:val="002C7AD6"/>
    <w:rsid w:val="002D0D6E"/>
    <w:rsid w:val="002D3598"/>
    <w:rsid w:val="002D4927"/>
    <w:rsid w:val="002D4FF6"/>
    <w:rsid w:val="002D7009"/>
    <w:rsid w:val="002D7014"/>
    <w:rsid w:val="002D70AD"/>
    <w:rsid w:val="002E2DEC"/>
    <w:rsid w:val="002E55AE"/>
    <w:rsid w:val="002E7F9C"/>
    <w:rsid w:val="002F1CC4"/>
    <w:rsid w:val="002F722F"/>
    <w:rsid w:val="002F73F8"/>
    <w:rsid w:val="0030139E"/>
    <w:rsid w:val="0030244D"/>
    <w:rsid w:val="00310DF8"/>
    <w:rsid w:val="0031244F"/>
    <w:rsid w:val="00312550"/>
    <w:rsid w:val="0031266C"/>
    <w:rsid w:val="003144A7"/>
    <w:rsid w:val="003148D0"/>
    <w:rsid w:val="003149F6"/>
    <w:rsid w:val="00314A33"/>
    <w:rsid w:val="00315325"/>
    <w:rsid w:val="00315361"/>
    <w:rsid w:val="00316A41"/>
    <w:rsid w:val="00321315"/>
    <w:rsid w:val="00321F92"/>
    <w:rsid w:val="003233FE"/>
    <w:rsid w:val="00326461"/>
    <w:rsid w:val="003274B0"/>
    <w:rsid w:val="0032791B"/>
    <w:rsid w:val="00327E41"/>
    <w:rsid w:val="00330E51"/>
    <w:rsid w:val="003318A8"/>
    <w:rsid w:val="00333208"/>
    <w:rsid w:val="00333C45"/>
    <w:rsid w:val="00334172"/>
    <w:rsid w:val="00334D30"/>
    <w:rsid w:val="003372E0"/>
    <w:rsid w:val="003375DD"/>
    <w:rsid w:val="00337665"/>
    <w:rsid w:val="00340598"/>
    <w:rsid w:val="0034677E"/>
    <w:rsid w:val="003471FA"/>
    <w:rsid w:val="00352C2D"/>
    <w:rsid w:val="00352D66"/>
    <w:rsid w:val="00356405"/>
    <w:rsid w:val="003565CE"/>
    <w:rsid w:val="0036314E"/>
    <w:rsid w:val="00365E89"/>
    <w:rsid w:val="00366203"/>
    <w:rsid w:val="00370E51"/>
    <w:rsid w:val="003713DF"/>
    <w:rsid w:val="00374260"/>
    <w:rsid w:val="00374764"/>
    <w:rsid w:val="0037575A"/>
    <w:rsid w:val="00377D90"/>
    <w:rsid w:val="00381093"/>
    <w:rsid w:val="0038117C"/>
    <w:rsid w:val="003817D9"/>
    <w:rsid w:val="00381FEB"/>
    <w:rsid w:val="00382BC3"/>
    <w:rsid w:val="003877CB"/>
    <w:rsid w:val="003909F8"/>
    <w:rsid w:val="003943E2"/>
    <w:rsid w:val="00396103"/>
    <w:rsid w:val="003A0992"/>
    <w:rsid w:val="003A0B37"/>
    <w:rsid w:val="003A11E3"/>
    <w:rsid w:val="003A7E24"/>
    <w:rsid w:val="003A7EE0"/>
    <w:rsid w:val="003B1586"/>
    <w:rsid w:val="003B18A2"/>
    <w:rsid w:val="003B21E2"/>
    <w:rsid w:val="003B382B"/>
    <w:rsid w:val="003B4D57"/>
    <w:rsid w:val="003B76EF"/>
    <w:rsid w:val="003B770D"/>
    <w:rsid w:val="003C0497"/>
    <w:rsid w:val="003C1D37"/>
    <w:rsid w:val="003C3170"/>
    <w:rsid w:val="003C4FCF"/>
    <w:rsid w:val="003C5268"/>
    <w:rsid w:val="003C529A"/>
    <w:rsid w:val="003D042C"/>
    <w:rsid w:val="003D1BA3"/>
    <w:rsid w:val="003D56C5"/>
    <w:rsid w:val="003D740A"/>
    <w:rsid w:val="003E1254"/>
    <w:rsid w:val="003E1386"/>
    <w:rsid w:val="003E1B91"/>
    <w:rsid w:val="003E51B6"/>
    <w:rsid w:val="003E6312"/>
    <w:rsid w:val="003E6AC7"/>
    <w:rsid w:val="003F0F41"/>
    <w:rsid w:val="003F208A"/>
    <w:rsid w:val="003F3D67"/>
    <w:rsid w:val="003F62F0"/>
    <w:rsid w:val="0040371F"/>
    <w:rsid w:val="00405850"/>
    <w:rsid w:val="00406E52"/>
    <w:rsid w:val="00406F03"/>
    <w:rsid w:val="00407F93"/>
    <w:rsid w:val="0041072E"/>
    <w:rsid w:val="004165BE"/>
    <w:rsid w:val="00417498"/>
    <w:rsid w:val="004219AF"/>
    <w:rsid w:val="004219E0"/>
    <w:rsid w:val="00421F31"/>
    <w:rsid w:val="004232D8"/>
    <w:rsid w:val="004251B1"/>
    <w:rsid w:val="00425802"/>
    <w:rsid w:val="004258F5"/>
    <w:rsid w:val="00435B0F"/>
    <w:rsid w:val="004408CF"/>
    <w:rsid w:val="00441DE4"/>
    <w:rsid w:val="00442802"/>
    <w:rsid w:val="00443DD2"/>
    <w:rsid w:val="00445FB6"/>
    <w:rsid w:val="00446CF5"/>
    <w:rsid w:val="00450060"/>
    <w:rsid w:val="00450483"/>
    <w:rsid w:val="00451250"/>
    <w:rsid w:val="0045466E"/>
    <w:rsid w:val="004548E1"/>
    <w:rsid w:val="00454EEF"/>
    <w:rsid w:val="00456142"/>
    <w:rsid w:val="00456C2C"/>
    <w:rsid w:val="00456F9A"/>
    <w:rsid w:val="004617BF"/>
    <w:rsid w:val="00462879"/>
    <w:rsid w:val="00464AC7"/>
    <w:rsid w:val="004658AE"/>
    <w:rsid w:val="004677A4"/>
    <w:rsid w:val="004729FA"/>
    <w:rsid w:val="004778DC"/>
    <w:rsid w:val="00480C2B"/>
    <w:rsid w:val="004858C3"/>
    <w:rsid w:val="004865CC"/>
    <w:rsid w:val="00487080"/>
    <w:rsid w:val="004909EA"/>
    <w:rsid w:val="004915EB"/>
    <w:rsid w:val="0049373C"/>
    <w:rsid w:val="00493C5C"/>
    <w:rsid w:val="004964D0"/>
    <w:rsid w:val="004A0462"/>
    <w:rsid w:val="004A0A4A"/>
    <w:rsid w:val="004A16A0"/>
    <w:rsid w:val="004A1BDC"/>
    <w:rsid w:val="004A1C0A"/>
    <w:rsid w:val="004A596E"/>
    <w:rsid w:val="004A6256"/>
    <w:rsid w:val="004A64AA"/>
    <w:rsid w:val="004B0C4F"/>
    <w:rsid w:val="004B1E30"/>
    <w:rsid w:val="004B663E"/>
    <w:rsid w:val="004B6FC7"/>
    <w:rsid w:val="004B7010"/>
    <w:rsid w:val="004C00AB"/>
    <w:rsid w:val="004C01C5"/>
    <w:rsid w:val="004C061C"/>
    <w:rsid w:val="004C0CFE"/>
    <w:rsid w:val="004C210E"/>
    <w:rsid w:val="004C21F8"/>
    <w:rsid w:val="004C4559"/>
    <w:rsid w:val="004C5197"/>
    <w:rsid w:val="004C7A9A"/>
    <w:rsid w:val="004D0813"/>
    <w:rsid w:val="004D13F2"/>
    <w:rsid w:val="004D343E"/>
    <w:rsid w:val="004D35C5"/>
    <w:rsid w:val="004D6BCA"/>
    <w:rsid w:val="004E009C"/>
    <w:rsid w:val="004F697D"/>
    <w:rsid w:val="004F6D5A"/>
    <w:rsid w:val="004F7BE9"/>
    <w:rsid w:val="0050001E"/>
    <w:rsid w:val="00500D93"/>
    <w:rsid w:val="005015A9"/>
    <w:rsid w:val="005018B6"/>
    <w:rsid w:val="00502132"/>
    <w:rsid w:val="00503EF6"/>
    <w:rsid w:val="00505C7E"/>
    <w:rsid w:val="00511460"/>
    <w:rsid w:val="00512A81"/>
    <w:rsid w:val="00514C8F"/>
    <w:rsid w:val="00514FA6"/>
    <w:rsid w:val="00520623"/>
    <w:rsid w:val="005224AD"/>
    <w:rsid w:val="0052511D"/>
    <w:rsid w:val="00525D7E"/>
    <w:rsid w:val="005260AA"/>
    <w:rsid w:val="00527D0D"/>
    <w:rsid w:val="00530B22"/>
    <w:rsid w:val="00531470"/>
    <w:rsid w:val="0053393C"/>
    <w:rsid w:val="00534AA9"/>
    <w:rsid w:val="00536796"/>
    <w:rsid w:val="00536921"/>
    <w:rsid w:val="005374A9"/>
    <w:rsid w:val="005431A5"/>
    <w:rsid w:val="00544157"/>
    <w:rsid w:val="00544296"/>
    <w:rsid w:val="005442E0"/>
    <w:rsid w:val="005447CC"/>
    <w:rsid w:val="00547D5D"/>
    <w:rsid w:val="0055404C"/>
    <w:rsid w:val="00557B17"/>
    <w:rsid w:val="00561C53"/>
    <w:rsid w:val="005645ED"/>
    <w:rsid w:val="00565C17"/>
    <w:rsid w:val="005664BC"/>
    <w:rsid w:val="005701AC"/>
    <w:rsid w:val="00570316"/>
    <w:rsid w:val="0057321A"/>
    <w:rsid w:val="00573B1A"/>
    <w:rsid w:val="00577245"/>
    <w:rsid w:val="00577B2E"/>
    <w:rsid w:val="00577CA6"/>
    <w:rsid w:val="00577FFD"/>
    <w:rsid w:val="0058092E"/>
    <w:rsid w:val="0058133E"/>
    <w:rsid w:val="005818DD"/>
    <w:rsid w:val="005872DE"/>
    <w:rsid w:val="0058761A"/>
    <w:rsid w:val="005925DF"/>
    <w:rsid w:val="00593311"/>
    <w:rsid w:val="0059351D"/>
    <w:rsid w:val="005940F7"/>
    <w:rsid w:val="005949E5"/>
    <w:rsid w:val="0059737C"/>
    <w:rsid w:val="005A09A1"/>
    <w:rsid w:val="005A3E76"/>
    <w:rsid w:val="005A50C6"/>
    <w:rsid w:val="005A516B"/>
    <w:rsid w:val="005A54CD"/>
    <w:rsid w:val="005A5B5C"/>
    <w:rsid w:val="005A7919"/>
    <w:rsid w:val="005B0782"/>
    <w:rsid w:val="005B2E9F"/>
    <w:rsid w:val="005B3F43"/>
    <w:rsid w:val="005B411C"/>
    <w:rsid w:val="005B7129"/>
    <w:rsid w:val="005B761A"/>
    <w:rsid w:val="005C0C95"/>
    <w:rsid w:val="005C2310"/>
    <w:rsid w:val="005C2729"/>
    <w:rsid w:val="005C3D60"/>
    <w:rsid w:val="005C445B"/>
    <w:rsid w:val="005C47DC"/>
    <w:rsid w:val="005D020B"/>
    <w:rsid w:val="005D03C3"/>
    <w:rsid w:val="005D102D"/>
    <w:rsid w:val="005D27F4"/>
    <w:rsid w:val="005D49CA"/>
    <w:rsid w:val="005D5BDA"/>
    <w:rsid w:val="005D7317"/>
    <w:rsid w:val="005E131F"/>
    <w:rsid w:val="005E1DE5"/>
    <w:rsid w:val="005E3C42"/>
    <w:rsid w:val="005E477C"/>
    <w:rsid w:val="005E5495"/>
    <w:rsid w:val="005E6F33"/>
    <w:rsid w:val="005F3160"/>
    <w:rsid w:val="005F45BE"/>
    <w:rsid w:val="00601708"/>
    <w:rsid w:val="00601849"/>
    <w:rsid w:val="0060328C"/>
    <w:rsid w:val="00605CC3"/>
    <w:rsid w:val="00610C92"/>
    <w:rsid w:val="00626E9B"/>
    <w:rsid w:val="00630B4A"/>
    <w:rsid w:val="00634021"/>
    <w:rsid w:val="00637761"/>
    <w:rsid w:val="006412D9"/>
    <w:rsid w:val="00641B45"/>
    <w:rsid w:val="00642587"/>
    <w:rsid w:val="0064379F"/>
    <w:rsid w:val="006440BE"/>
    <w:rsid w:val="0064540C"/>
    <w:rsid w:val="00647258"/>
    <w:rsid w:val="00652021"/>
    <w:rsid w:val="00652379"/>
    <w:rsid w:val="00660F32"/>
    <w:rsid w:val="006625CB"/>
    <w:rsid w:val="00662FF2"/>
    <w:rsid w:val="00664401"/>
    <w:rsid w:val="006652CF"/>
    <w:rsid w:val="006674E4"/>
    <w:rsid w:val="0067097C"/>
    <w:rsid w:val="00670996"/>
    <w:rsid w:val="00671528"/>
    <w:rsid w:val="00673125"/>
    <w:rsid w:val="006748C7"/>
    <w:rsid w:val="00680CB3"/>
    <w:rsid w:val="00680EF6"/>
    <w:rsid w:val="00684E1E"/>
    <w:rsid w:val="006865B5"/>
    <w:rsid w:val="00686B8D"/>
    <w:rsid w:val="00687929"/>
    <w:rsid w:val="006900A2"/>
    <w:rsid w:val="00690ED6"/>
    <w:rsid w:val="00692D5F"/>
    <w:rsid w:val="0069311B"/>
    <w:rsid w:val="006942FF"/>
    <w:rsid w:val="00695435"/>
    <w:rsid w:val="00695984"/>
    <w:rsid w:val="006979FA"/>
    <w:rsid w:val="006A0643"/>
    <w:rsid w:val="006A4500"/>
    <w:rsid w:val="006A4793"/>
    <w:rsid w:val="006A51F6"/>
    <w:rsid w:val="006A62D9"/>
    <w:rsid w:val="006A778F"/>
    <w:rsid w:val="006B0E7D"/>
    <w:rsid w:val="006B12E5"/>
    <w:rsid w:val="006B2497"/>
    <w:rsid w:val="006B2BF0"/>
    <w:rsid w:val="006B6D3A"/>
    <w:rsid w:val="006B78DE"/>
    <w:rsid w:val="006C031A"/>
    <w:rsid w:val="006C2308"/>
    <w:rsid w:val="006C324A"/>
    <w:rsid w:val="006C74AE"/>
    <w:rsid w:val="006D0AAC"/>
    <w:rsid w:val="006D3735"/>
    <w:rsid w:val="006E4C23"/>
    <w:rsid w:val="006E549A"/>
    <w:rsid w:val="006E7208"/>
    <w:rsid w:val="006F1FCB"/>
    <w:rsid w:val="006F341F"/>
    <w:rsid w:val="006F4B68"/>
    <w:rsid w:val="006F55B7"/>
    <w:rsid w:val="0070011E"/>
    <w:rsid w:val="00700BA4"/>
    <w:rsid w:val="00702C12"/>
    <w:rsid w:val="0070307A"/>
    <w:rsid w:val="0070400B"/>
    <w:rsid w:val="0070457E"/>
    <w:rsid w:val="00704AB3"/>
    <w:rsid w:val="00705831"/>
    <w:rsid w:val="00706BFD"/>
    <w:rsid w:val="007107EF"/>
    <w:rsid w:val="00711814"/>
    <w:rsid w:val="007127D4"/>
    <w:rsid w:val="0071363A"/>
    <w:rsid w:val="00717359"/>
    <w:rsid w:val="00721854"/>
    <w:rsid w:val="007233ED"/>
    <w:rsid w:val="00723455"/>
    <w:rsid w:val="00724805"/>
    <w:rsid w:val="00725B62"/>
    <w:rsid w:val="00725CA1"/>
    <w:rsid w:val="0073557B"/>
    <w:rsid w:val="00737ADC"/>
    <w:rsid w:val="00741833"/>
    <w:rsid w:val="00742330"/>
    <w:rsid w:val="0074308C"/>
    <w:rsid w:val="0074362B"/>
    <w:rsid w:val="00743DFD"/>
    <w:rsid w:val="007440A0"/>
    <w:rsid w:val="00746756"/>
    <w:rsid w:val="00747249"/>
    <w:rsid w:val="00750910"/>
    <w:rsid w:val="007522E5"/>
    <w:rsid w:val="00754BCC"/>
    <w:rsid w:val="00754BEA"/>
    <w:rsid w:val="00760313"/>
    <w:rsid w:val="007609D9"/>
    <w:rsid w:val="00762060"/>
    <w:rsid w:val="00764BFC"/>
    <w:rsid w:val="00772252"/>
    <w:rsid w:val="00776A2E"/>
    <w:rsid w:val="0077791E"/>
    <w:rsid w:val="00777C33"/>
    <w:rsid w:val="007809A7"/>
    <w:rsid w:val="00780F49"/>
    <w:rsid w:val="00791999"/>
    <w:rsid w:val="0079315E"/>
    <w:rsid w:val="00793AE0"/>
    <w:rsid w:val="00794E70"/>
    <w:rsid w:val="00794F3C"/>
    <w:rsid w:val="007964CE"/>
    <w:rsid w:val="007A20CC"/>
    <w:rsid w:val="007A2EE9"/>
    <w:rsid w:val="007A3336"/>
    <w:rsid w:val="007B29FF"/>
    <w:rsid w:val="007B34F8"/>
    <w:rsid w:val="007C54F0"/>
    <w:rsid w:val="007C6E44"/>
    <w:rsid w:val="007C74AD"/>
    <w:rsid w:val="007C7974"/>
    <w:rsid w:val="007D202D"/>
    <w:rsid w:val="007D2047"/>
    <w:rsid w:val="007D4E8D"/>
    <w:rsid w:val="007D573E"/>
    <w:rsid w:val="007D6659"/>
    <w:rsid w:val="007D76BB"/>
    <w:rsid w:val="007E0245"/>
    <w:rsid w:val="007E0536"/>
    <w:rsid w:val="007E1333"/>
    <w:rsid w:val="007E60AB"/>
    <w:rsid w:val="007F012B"/>
    <w:rsid w:val="007F10F3"/>
    <w:rsid w:val="007F3FF5"/>
    <w:rsid w:val="007F537B"/>
    <w:rsid w:val="007F6A7C"/>
    <w:rsid w:val="007F6BD4"/>
    <w:rsid w:val="008040EC"/>
    <w:rsid w:val="008058BB"/>
    <w:rsid w:val="00805C53"/>
    <w:rsid w:val="00805CE1"/>
    <w:rsid w:val="00805E07"/>
    <w:rsid w:val="00806377"/>
    <w:rsid w:val="00807413"/>
    <w:rsid w:val="00812742"/>
    <w:rsid w:val="00812F91"/>
    <w:rsid w:val="00815D3B"/>
    <w:rsid w:val="008169DF"/>
    <w:rsid w:val="00817A5F"/>
    <w:rsid w:val="00822E59"/>
    <w:rsid w:val="00823F32"/>
    <w:rsid w:val="008249D4"/>
    <w:rsid w:val="00824D93"/>
    <w:rsid w:val="008258F1"/>
    <w:rsid w:val="0083076A"/>
    <w:rsid w:val="008309EB"/>
    <w:rsid w:val="00832C23"/>
    <w:rsid w:val="008357A8"/>
    <w:rsid w:val="00842886"/>
    <w:rsid w:val="008453C8"/>
    <w:rsid w:val="008455A4"/>
    <w:rsid w:val="00845811"/>
    <w:rsid w:val="008467F8"/>
    <w:rsid w:val="00846ABA"/>
    <w:rsid w:val="008502F5"/>
    <w:rsid w:val="008531D0"/>
    <w:rsid w:val="00853DD3"/>
    <w:rsid w:val="00854D5F"/>
    <w:rsid w:val="00855852"/>
    <w:rsid w:val="00856A41"/>
    <w:rsid w:val="00861179"/>
    <w:rsid w:val="00865917"/>
    <w:rsid w:val="008662F7"/>
    <w:rsid w:val="00866B0C"/>
    <w:rsid w:val="008678FA"/>
    <w:rsid w:val="008701D2"/>
    <w:rsid w:val="00871019"/>
    <w:rsid w:val="00872835"/>
    <w:rsid w:val="0087439E"/>
    <w:rsid w:val="00880A90"/>
    <w:rsid w:val="00880AF8"/>
    <w:rsid w:val="00882DCC"/>
    <w:rsid w:val="00885EC0"/>
    <w:rsid w:val="00887169"/>
    <w:rsid w:val="008911D0"/>
    <w:rsid w:val="008922D9"/>
    <w:rsid w:val="00893ADE"/>
    <w:rsid w:val="00894417"/>
    <w:rsid w:val="0089630F"/>
    <w:rsid w:val="00897D24"/>
    <w:rsid w:val="008A0BDA"/>
    <w:rsid w:val="008A0D91"/>
    <w:rsid w:val="008A4928"/>
    <w:rsid w:val="008A661C"/>
    <w:rsid w:val="008A70B2"/>
    <w:rsid w:val="008A7BAC"/>
    <w:rsid w:val="008B24DC"/>
    <w:rsid w:val="008B56F3"/>
    <w:rsid w:val="008C04C3"/>
    <w:rsid w:val="008C1AE1"/>
    <w:rsid w:val="008C407C"/>
    <w:rsid w:val="008C4113"/>
    <w:rsid w:val="008C73DA"/>
    <w:rsid w:val="008D138A"/>
    <w:rsid w:val="008D13C2"/>
    <w:rsid w:val="008D39B7"/>
    <w:rsid w:val="008D7A18"/>
    <w:rsid w:val="008D7EBB"/>
    <w:rsid w:val="008E00C8"/>
    <w:rsid w:val="008E171C"/>
    <w:rsid w:val="008E2E95"/>
    <w:rsid w:val="008E3C2B"/>
    <w:rsid w:val="008E4319"/>
    <w:rsid w:val="008E4B09"/>
    <w:rsid w:val="008E5A34"/>
    <w:rsid w:val="008E660B"/>
    <w:rsid w:val="008E6862"/>
    <w:rsid w:val="008E7002"/>
    <w:rsid w:val="008E7BC0"/>
    <w:rsid w:val="008F59FA"/>
    <w:rsid w:val="008F6766"/>
    <w:rsid w:val="008F7500"/>
    <w:rsid w:val="009000B7"/>
    <w:rsid w:val="00901CE9"/>
    <w:rsid w:val="009023D5"/>
    <w:rsid w:val="00904E0B"/>
    <w:rsid w:val="009105A1"/>
    <w:rsid w:val="009105AC"/>
    <w:rsid w:val="00912E93"/>
    <w:rsid w:val="009148A3"/>
    <w:rsid w:val="00924848"/>
    <w:rsid w:val="00926724"/>
    <w:rsid w:val="009319B5"/>
    <w:rsid w:val="00932650"/>
    <w:rsid w:val="00936C37"/>
    <w:rsid w:val="00937529"/>
    <w:rsid w:val="009435A8"/>
    <w:rsid w:val="00943F92"/>
    <w:rsid w:val="009449E7"/>
    <w:rsid w:val="00944F3B"/>
    <w:rsid w:val="009453F6"/>
    <w:rsid w:val="00945ABC"/>
    <w:rsid w:val="00945DC5"/>
    <w:rsid w:val="00947206"/>
    <w:rsid w:val="00947C4E"/>
    <w:rsid w:val="0095114D"/>
    <w:rsid w:val="009515F2"/>
    <w:rsid w:val="00952D07"/>
    <w:rsid w:val="009535AE"/>
    <w:rsid w:val="00953AAA"/>
    <w:rsid w:val="00953C97"/>
    <w:rsid w:val="00956BA8"/>
    <w:rsid w:val="00957412"/>
    <w:rsid w:val="00957813"/>
    <w:rsid w:val="009605F8"/>
    <w:rsid w:val="009606A6"/>
    <w:rsid w:val="00962564"/>
    <w:rsid w:val="0096363B"/>
    <w:rsid w:val="009649BD"/>
    <w:rsid w:val="009679A3"/>
    <w:rsid w:val="00967DE0"/>
    <w:rsid w:val="00970F78"/>
    <w:rsid w:val="00973783"/>
    <w:rsid w:val="0097683B"/>
    <w:rsid w:val="009817AD"/>
    <w:rsid w:val="00987836"/>
    <w:rsid w:val="00990164"/>
    <w:rsid w:val="00990220"/>
    <w:rsid w:val="00990E2D"/>
    <w:rsid w:val="00993044"/>
    <w:rsid w:val="00994296"/>
    <w:rsid w:val="009944B2"/>
    <w:rsid w:val="00995BDA"/>
    <w:rsid w:val="00996094"/>
    <w:rsid w:val="009A0F2E"/>
    <w:rsid w:val="009A2793"/>
    <w:rsid w:val="009A362E"/>
    <w:rsid w:val="009A600C"/>
    <w:rsid w:val="009A6619"/>
    <w:rsid w:val="009B0CE3"/>
    <w:rsid w:val="009B19E6"/>
    <w:rsid w:val="009B2842"/>
    <w:rsid w:val="009B329B"/>
    <w:rsid w:val="009B334F"/>
    <w:rsid w:val="009B4224"/>
    <w:rsid w:val="009B4F90"/>
    <w:rsid w:val="009B5FC4"/>
    <w:rsid w:val="009B6AE6"/>
    <w:rsid w:val="009B7C6F"/>
    <w:rsid w:val="009C02DB"/>
    <w:rsid w:val="009C0731"/>
    <w:rsid w:val="009C09C7"/>
    <w:rsid w:val="009C3413"/>
    <w:rsid w:val="009C4C9A"/>
    <w:rsid w:val="009C6E1B"/>
    <w:rsid w:val="009D082A"/>
    <w:rsid w:val="009D2FEA"/>
    <w:rsid w:val="009D5D83"/>
    <w:rsid w:val="009E2BD7"/>
    <w:rsid w:val="009E3B9A"/>
    <w:rsid w:val="009E453D"/>
    <w:rsid w:val="009E4F8D"/>
    <w:rsid w:val="009E5E58"/>
    <w:rsid w:val="009F2378"/>
    <w:rsid w:val="009F6208"/>
    <w:rsid w:val="009F6C48"/>
    <w:rsid w:val="009F7479"/>
    <w:rsid w:val="009F79DA"/>
    <w:rsid w:val="00A003EF"/>
    <w:rsid w:val="00A015FD"/>
    <w:rsid w:val="00A01923"/>
    <w:rsid w:val="00A01CBD"/>
    <w:rsid w:val="00A02259"/>
    <w:rsid w:val="00A10D52"/>
    <w:rsid w:val="00A12F94"/>
    <w:rsid w:val="00A22435"/>
    <w:rsid w:val="00A22BAF"/>
    <w:rsid w:val="00A23DE9"/>
    <w:rsid w:val="00A247C7"/>
    <w:rsid w:val="00A2683C"/>
    <w:rsid w:val="00A26DE7"/>
    <w:rsid w:val="00A26F5E"/>
    <w:rsid w:val="00A278A6"/>
    <w:rsid w:val="00A31CA7"/>
    <w:rsid w:val="00A32D84"/>
    <w:rsid w:val="00A3312A"/>
    <w:rsid w:val="00A3485F"/>
    <w:rsid w:val="00A3554A"/>
    <w:rsid w:val="00A36BDC"/>
    <w:rsid w:val="00A40B86"/>
    <w:rsid w:val="00A45405"/>
    <w:rsid w:val="00A46887"/>
    <w:rsid w:val="00A47660"/>
    <w:rsid w:val="00A54B6D"/>
    <w:rsid w:val="00A555FA"/>
    <w:rsid w:val="00A57ED0"/>
    <w:rsid w:val="00A602EF"/>
    <w:rsid w:val="00A6323D"/>
    <w:rsid w:val="00A64FF4"/>
    <w:rsid w:val="00A66FC6"/>
    <w:rsid w:val="00A671CB"/>
    <w:rsid w:val="00A674C5"/>
    <w:rsid w:val="00A7077D"/>
    <w:rsid w:val="00A708C5"/>
    <w:rsid w:val="00A70CE5"/>
    <w:rsid w:val="00A71EC2"/>
    <w:rsid w:val="00A720E1"/>
    <w:rsid w:val="00A72A70"/>
    <w:rsid w:val="00A72C9A"/>
    <w:rsid w:val="00A74057"/>
    <w:rsid w:val="00A75AB9"/>
    <w:rsid w:val="00A76994"/>
    <w:rsid w:val="00A8079A"/>
    <w:rsid w:val="00A85FF8"/>
    <w:rsid w:val="00A96CB1"/>
    <w:rsid w:val="00AA2930"/>
    <w:rsid w:val="00AA312F"/>
    <w:rsid w:val="00AA34E2"/>
    <w:rsid w:val="00AA43A5"/>
    <w:rsid w:val="00AA4C55"/>
    <w:rsid w:val="00AA5CCE"/>
    <w:rsid w:val="00AA65FA"/>
    <w:rsid w:val="00AA7873"/>
    <w:rsid w:val="00AB1D55"/>
    <w:rsid w:val="00AB3A3D"/>
    <w:rsid w:val="00AB5AFB"/>
    <w:rsid w:val="00AB65BB"/>
    <w:rsid w:val="00AB6F93"/>
    <w:rsid w:val="00AB70B2"/>
    <w:rsid w:val="00AC234F"/>
    <w:rsid w:val="00AC2F88"/>
    <w:rsid w:val="00AC67C5"/>
    <w:rsid w:val="00AC6A63"/>
    <w:rsid w:val="00AC76CB"/>
    <w:rsid w:val="00AD03AC"/>
    <w:rsid w:val="00AD3BC6"/>
    <w:rsid w:val="00AD41EE"/>
    <w:rsid w:val="00AD62DE"/>
    <w:rsid w:val="00AD69D6"/>
    <w:rsid w:val="00AD6D84"/>
    <w:rsid w:val="00AE0CFD"/>
    <w:rsid w:val="00AE0E04"/>
    <w:rsid w:val="00AE0F2F"/>
    <w:rsid w:val="00AE1366"/>
    <w:rsid w:val="00AE35CC"/>
    <w:rsid w:val="00AE7064"/>
    <w:rsid w:val="00AE79F2"/>
    <w:rsid w:val="00AF2122"/>
    <w:rsid w:val="00AF29F7"/>
    <w:rsid w:val="00AF3B64"/>
    <w:rsid w:val="00AF6139"/>
    <w:rsid w:val="00AF69A5"/>
    <w:rsid w:val="00AF6B11"/>
    <w:rsid w:val="00B02B9A"/>
    <w:rsid w:val="00B02F10"/>
    <w:rsid w:val="00B0680B"/>
    <w:rsid w:val="00B07135"/>
    <w:rsid w:val="00B12DDA"/>
    <w:rsid w:val="00B13140"/>
    <w:rsid w:val="00B17150"/>
    <w:rsid w:val="00B22D31"/>
    <w:rsid w:val="00B231EC"/>
    <w:rsid w:val="00B26039"/>
    <w:rsid w:val="00B33354"/>
    <w:rsid w:val="00B34C5A"/>
    <w:rsid w:val="00B35497"/>
    <w:rsid w:val="00B37015"/>
    <w:rsid w:val="00B43536"/>
    <w:rsid w:val="00B44B78"/>
    <w:rsid w:val="00B45B71"/>
    <w:rsid w:val="00B51601"/>
    <w:rsid w:val="00B521A1"/>
    <w:rsid w:val="00B529B7"/>
    <w:rsid w:val="00B52C09"/>
    <w:rsid w:val="00B52D61"/>
    <w:rsid w:val="00B53064"/>
    <w:rsid w:val="00B53FEB"/>
    <w:rsid w:val="00B54344"/>
    <w:rsid w:val="00B55449"/>
    <w:rsid w:val="00B573EC"/>
    <w:rsid w:val="00B61E56"/>
    <w:rsid w:val="00B627E3"/>
    <w:rsid w:val="00B646A9"/>
    <w:rsid w:val="00B65540"/>
    <w:rsid w:val="00B6741A"/>
    <w:rsid w:val="00B70DCB"/>
    <w:rsid w:val="00B70E96"/>
    <w:rsid w:val="00B714BA"/>
    <w:rsid w:val="00B71FA6"/>
    <w:rsid w:val="00B72AAA"/>
    <w:rsid w:val="00B72F7E"/>
    <w:rsid w:val="00B73DD3"/>
    <w:rsid w:val="00B740CF"/>
    <w:rsid w:val="00B772AB"/>
    <w:rsid w:val="00B812D8"/>
    <w:rsid w:val="00B861D9"/>
    <w:rsid w:val="00B8653A"/>
    <w:rsid w:val="00B86939"/>
    <w:rsid w:val="00B87C72"/>
    <w:rsid w:val="00B91239"/>
    <w:rsid w:val="00B91EBC"/>
    <w:rsid w:val="00B93A24"/>
    <w:rsid w:val="00B940EA"/>
    <w:rsid w:val="00B9460D"/>
    <w:rsid w:val="00B963E1"/>
    <w:rsid w:val="00B96E03"/>
    <w:rsid w:val="00B97B26"/>
    <w:rsid w:val="00BA1811"/>
    <w:rsid w:val="00BA388C"/>
    <w:rsid w:val="00BA58B2"/>
    <w:rsid w:val="00BA7E71"/>
    <w:rsid w:val="00BB0024"/>
    <w:rsid w:val="00BB06C5"/>
    <w:rsid w:val="00BB269E"/>
    <w:rsid w:val="00BB28E3"/>
    <w:rsid w:val="00BB3632"/>
    <w:rsid w:val="00BB5458"/>
    <w:rsid w:val="00BB6980"/>
    <w:rsid w:val="00BB6CDC"/>
    <w:rsid w:val="00BC1596"/>
    <w:rsid w:val="00BC1C92"/>
    <w:rsid w:val="00BC1EBD"/>
    <w:rsid w:val="00BC478E"/>
    <w:rsid w:val="00BC4E72"/>
    <w:rsid w:val="00BC6BB7"/>
    <w:rsid w:val="00BD4008"/>
    <w:rsid w:val="00BD5941"/>
    <w:rsid w:val="00BD6BF5"/>
    <w:rsid w:val="00BE04C8"/>
    <w:rsid w:val="00BE167B"/>
    <w:rsid w:val="00BE7FDC"/>
    <w:rsid w:val="00BF0569"/>
    <w:rsid w:val="00BF1D58"/>
    <w:rsid w:val="00BF2ADA"/>
    <w:rsid w:val="00BF2CA5"/>
    <w:rsid w:val="00BF33F4"/>
    <w:rsid w:val="00BF4CF5"/>
    <w:rsid w:val="00C010AF"/>
    <w:rsid w:val="00C028F2"/>
    <w:rsid w:val="00C02DF3"/>
    <w:rsid w:val="00C054A4"/>
    <w:rsid w:val="00C054DC"/>
    <w:rsid w:val="00C06F16"/>
    <w:rsid w:val="00C07C75"/>
    <w:rsid w:val="00C10A1D"/>
    <w:rsid w:val="00C14C3C"/>
    <w:rsid w:val="00C22232"/>
    <w:rsid w:val="00C25D94"/>
    <w:rsid w:val="00C3056E"/>
    <w:rsid w:val="00C3263D"/>
    <w:rsid w:val="00C40437"/>
    <w:rsid w:val="00C406BA"/>
    <w:rsid w:val="00C43A92"/>
    <w:rsid w:val="00C44493"/>
    <w:rsid w:val="00C447E3"/>
    <w:rsid w:val="00C45922"/>
    <w:rsid w:val="00C46580"/>
    <w:rsid w:val="00C50E1E"/>
    <w:rsid w:val="00C52872"/>
    <w:rsid w:val="00C52B42"/>
    <w:rsid w:val="00C57043"/>
    <w:rsid w:val="00C6230F"/>
    <w:rsid w:val="00C62714"/>
    <w:rsid w:val="00C63C15"/>
    <w:rsid w:val="00C64A7A"/>
    <w:rsid w:val="00C67971"/>
    <w:rsid w:val="00C708BD"/>
    <w:rsid w:val="00C725D1"/>
    <w:rsid w:val="00C72641"/>
    <w:rsid w:val="00C72EEC"/>
    <w:rsid w:val="00C7330E"/>
    <w:rsid w:val="00C74865"/>
    <w:rsid w:val="00C8036C"/>
    <w:rsid w:val="00C83F7F"/>
    <w:rsid w:val="00C84DD8"/>
    <w:rsid w:val="00C85868"/>
    <w:rsid w:val="00C86336"/>
    <w:rsid w:val="00C914EE"/>
    <w:rsid w:val="00C9299C"/>
    <w:rsid w:val="00C93598"/>
    <w:rsid w:val="00C94407"/>
    <w:rsid w:val="00C95173"/>
    <w:rsid w:val="00CA028E"/>
    <w:rsid w:val="00CA0A0F"/>
    <w:rsid w:val="00CA25FB"/>
    <w:rsid w:val="00CA35FE"/>
    <w:rsid w:val="00CA4B38"/>
    <w:rsid w:val="00CA58D8"/>
    <w:rsid w:val="00CA5C86"/>
    <w:rsid w:val="00CA5CDB"/>
    <w:rsid w:val="00CA60A6"/>
    <w:rsid w:val="00CA610E"/>
    <w:rsid w:val="00CA6BC9"/>
    <w:rsid w:val="00CB0880"/>
    <w:rsid w:val="00CB11D8"/>
    <w:rsid w:val="00CB538A"/>
    <w:rsid w:val="00CB6BEE"/>
    <w:rsid w:val="00CB7B15"/>
    <w:rsid w:val="00CC0A46"/>
    <w:rsid w:val="00CC141F"/>
    <w:rsid w:val="00CC1843"/>
    <w:rsid w:val="00CC3324"/>
    <w:rsid w:val="00CC4E7F"/>
    <w:rsid w:val="00CD2502"/>
    <w:rsid w:val="00CD2FC9"/>
    <w:rsid w:val="00CD3B71"/>
    <w:rsid w:val="00CD3EA8"/>
    <w:rsid w:val="00CD403A"/>
    <w:rsid w:val="00CD5132"/>
    <w:rsid w:val="00CE3771"/>
    <w:rsid w:val="00CE5ECC"/>
    <w:rsid w:val="00CE638A"/>
    <w:rsid w:val="00CE7B5F"/>
    <w:rsid w:val="00CF05E1"/>
    <w:rsid w:val="00CF1A6B"/>
    <w:rsid w:val="00CF2180"/>
    <w:rsid w:val="00CF2738"/>
    <w:rsid w:val="00CF2BD6"/>
    <w:rsid w:val="00CF66E1"/>
    <w:rsid w:val="00CF67DD"/>
    <w:rsid w:val="00D0071A"/>
    <w:rsid w:val="00D02DE1"/>
    <w:rsid w:val="00D03E16"/>
    <w:rsid w:val="00D06E13"/>
    <w:rsid w:val="00D10112"/>
    <w:rsid w:val="00D11348"/>
    <w:rsid w:val="00D11A63"/>
    <w:rsid w:val="00D11AD0"/>
    <w:rsid w:val="00D11BC5"/>
    <w:rsid w:val="00D12480"/>
    <w:rsid w:val="00D13378"/>
    <w:rsid w:val="00D14609"/>
    <w:rsid w:val="00D15440"/>
    <w:rsid w:val="00D1613A"/>
    <w:rsid w:val="00D174F1"/>
    <w:rsid w:val="00D175CB"/>
    <w:rsid w:val="00D17845"/>
    <w:rsid w:val="00D17B49"/>
    <w:rsid w:val="00D20533"/>
    <w:rsid w:val="00D20E3A"/>
    <w:rsid w:val="00D21DFF"/>
    <w:rsid w:val="00D25E8F"/>
    <w:rsid w:val="00D26B11"/>
    <w:rsid w:val="00D317D8"/>
    <w:rsid w:val="00D32426"/>
    <w:rsid w:val="00D34545"/>
    <w:rsid w:val="00D37890"/>
    <w:rsid w:val="00D416E8"/>
    <w:rsid w:val="00D46562"/>
    <w:rsid w:val="00D46CAF"/>
    <w:rsid w:val="00D5044B"/>
    <w:rsid w:val="00D526E9"/>
    <w:rsid w:val="00D52C69"/>
    <w:rsid w:val="00D531EE"/>
    <w:rsid w:val="00D537E8"/>
    <w:rsid w:val="00D57225"/>
    <w:rsid w:val="00D57C0B"/>
    <w:rsid w:val="00D61463"/>
    <w:rsid w:val="00D61D7D"/>
    <w:rsid w:val="00D621A4"/>
    <w:rsid w:val="00D62251"/>
    <w:rsid w:val="00D6237D"/>
    <w:rsid w:val="00D623CC"/>
    <w:rsid w:val="00D63F9A"/>
    <w:rsid w:val="00D64842"/>
    <w:rsid w:val="00D6603A"/>
    <w:rsid w:val="00D67FC4"/>
    <w:rsid w:val="00D73990"/>
    <w:rsid w:val="00D73FD9"/>
    <w:rsid w:val="00D74402"/>
    <w:rsid w:val="00D7575A"/>
    <w:rsid w:val="00D768A2"/>
    <w:rsid w:val="00D8098A"/>
    <w:rsid w:val="00D829A7"/>
    <w:rsid w:val="00D8651D"/>
    <w:rsid w:val="00D9091B"/>
    <w:rsid w:val="00D90CA6"/>
    <w:rsid w:val="00D92C11"/>
    <w:rsid w:val="00D93896"/>
    <w:rsid w:val="00D978CF"/>
    <w:rsid w:val="00D979FB"/>
    <w:rsid w:val="00DA0006"/>
    <w:rsid w:val="00DA21B8"/>
    <w:rsid w:val="00DB2684"/>
    <w:rsid w:val="00DB27F4"/>
    <w:rsid w:val="00DB3CB7"/>
    <w:rsid w:val="00DB46E8"/>
    <w:rsid w:val="00DB6526"/>
    <w:rsid w:val="00DB7799"/>
    <w:rsid w:val="00DC2284"/>
    <w:rsid w:val="00DC238D"/>
    <w:rsid w:val="00DC23C7"/>
    <w:rsid w:val="00DC62C4"/>
    <w:rsid w:val="00DC66E5"/>
    <w:rsid w:val="00DC7017"/>
    <w:rsid w:val="00DD117E"/>
    <w:rsid w:val="00DD14A7"/>
    <w:rsid w:val="00DD192C"/>
    <w:rsid w:val="00DD353C"/>
    <w:rsid w:val="00DD390D"/>
    <w:rsid w:val="00DD50BC"/>
    <w:rsid w:val="00DD6C0A"/>
    <w:rsid w:val="00DD7F38"/>
    <w:rsid w:val="00DE4524"/>
    <w:rsid w:val="00DE6EB2"/>
    <w:rsid w:val="00DE77A3"/>
    <w:rsid w:val="00DF3BFD"/>
    <w:rsid w:val="00DF4063"/>
    <w:rsid w:val="00DF4535"/>
    <w:rsid w:val="00DF7654"/>
    <w:rsid w:val="00DF77E9"/>
    <w:rsid w:val="00E0012A"/>
    <w:rsid w:val="00E007A4"/>
    <w:rsid w:val="00E01BDC"/>
    <w:rsid w:val="00E02F5F"/>
    <w:rsid w:val="00E06CAA"/>
    <w:rsid w:val="00E111F6"/>
    <w:rsid w:val="00E11668"/>
    <w:rsid w:val="00E12F08"/>
    <w:rsid w:val="00E13444"/>
    <w:rsid w:val="00E151C9"/>
    <w:rsid w:val="00E162BF"/>
    <w:rsid w:val="00E20EBA"/>
    <w:rsid w:val="00E24E99"/>
    <w:rsid w:val="00E30A69"/>
    <w:rsid w:val="00E319AE"/>
    <w:rsid w:val="00E33E8C"/>
    <w:rsid w:val="00E37552"/>
    <w:rsid w:val="00E40162"/>
    <w:rsid w:val="00E4621D"/>
    <w:rsid w:val="00E47F73"/>
    <w:rsid w:val="00E53315"/>
    <w:rsid w:val="00E54636"/>
    <w:rsid w:val="00E60B52"/>
    <w:rsid w:val="00E61FDC"/>
    <w:rsid w:val="00E62C87"/>
    <w:rsid w:val="00E64B00"/>
    <w:rsid w:val="00E70C30"/>
    <w:rsid w:val="00E71B5B"/>
    <w:rsid w:val="00E757E8"/>
    <w:rsid w:val="00E85729"/>
    <w:rsid w:val="00E85A29"/>
    <w:rsid w:val="00E867A8"/>
    <w:rsid w:val="00E91D7C"/>
    <w:rsid w:val="00E957FC"/>
    <w:rsid w:val="00E95849"/>
    <w:rsid w:val="00E96635"/>
    <w:rsid w:val="00EA0232"/>
    <w:rsid w:val="00EA1297"/>
    <w:rsid w:val="00EB077B"/>
    <w:rsid w:val="00EB1FF2"/>
    <w:rsid w:val="00EB59AF"/>
    <w:rsid w:val="00EB5FCF"/>
    <w:rsid w:val="00EB6CFC"/>
    <w:rsid w:val="00EB6D5C"/>
    <w:rsid w:val="00EC37AB"/>
    <w:rsid w:val="00EC4EBC"/>
    <w:rsid w:val="00EC59BC"/>
    <w:rsid w:val="00EC615D"/>
    <w:rsid w:val="00ED038F"/>
    <w:rsid w:val="00ED1A19"/>
    <w:rsid w:val="00ED4B96"/>
    <w:rsid w:val="00ED4D0D"/>
    <w:rsid w:val="00ED66C7"/>
    <w:rsid w:val="00EE02C9"/>
    <w:rsid w:val="00EE08D9"/>
    <w:rsid w:val="00EE2960"/>
    <w:rsid w:val="00EE5693"/>
    <w:rsid w:val="00EE6565"/>
    <w:rsid w:val="00EE6770"/>
    <w:rsid w:val="00EE7CAF"/>
    <w:rsid w:val="00EE7E29"/>
    <w:rsid w:val="00EF1459"/>
    <w:rsid w:val="00EF1A37"/>
    <w:rsid w:val="00EF1ACB"/>
    <w:rsid w:val="00EF25C1"/>
    <w:rsid w:val="00EF2D4A"/>
    <w:rsid w:val="00EF3AF5"/>
    <w:rsid w:val="00EF544E"/>
    <w:rsid w:val="00EF59D4"/>
    <w:rsid w:val="00F04287"/>
    <w:rsid w:val="00F04317"/>
    <w:rsid w:val="00F10CC2"/>
    <w:rsid w:val="00F11EB1"/>
    <w:rsid w:val="00F1318A"/>
    <w:rsid w:val="00F1325D"/>
    <w:rsid w:val="00F160F9"/>
    <w:rsid w:val="00F166F7"/>
    <w:rsid w:val="00F20554"/>
    <w:rsid w:val="00F21860"/>
    <w:rsid w:val="00F23CD3"/>
    <w:rsid w:val="00F24930"/>
    <w:rsid w:val="00F262D9"/>
    <w:rsid w:val="00F3223F"/>
    <w:rsid w:val="00F33AB9"/>
    <w:rsid w:val="00F34C20"/>
    <w:rsid w:val="00F36FDB"/>
    <w:rsid w:val="00F41536"/>
    <w:rsid w:val="00F432F4"/>
    <w:rsid w:val="00F439E7"/>
    <w:rsid w:val="00F449AA"/>
    <w:rsid w:val="00F45188"/>
    <w:rsid w:val="00F50530"/>
    <w:rsid w:val="00F51DC6"/>
    <w:rsid w:val="00F54751"/>
    <w:rsid w:val="00F54C08"/>
    <w:rsid w:val="00F55F7F"/>
    <w:rsid w:val="00F56C57"/>
    <w:rsid w:val="00F60017"/>
    <w:rsid w:val="00F60BAF"/>
    <w:rsid w:val="00F61A4C"/>
    <w:rsid w:val="00F641ED"/>
    <w:rsid w:val="00F64F0F"/>
    <w:rsid w:val="00F67244"/>
    <w:rsid w:val="00F6724F"/>
    <w:rsid w:val="00F719ED"/>
    <w:rsid w:val="00F74549"/>
    <w:rsid w:val="00F75742"/>
    <w:rsid w:val="00F81293"/>
    <w:rsid w:val="00F8543E"/>
    <w:rsid w:val="00F860DE"/>
    <w:rsid w:val="00F86D5F"/>
    <w:rsid w:val="00F9070B"/>
    <w:rsid w:val="00F9083F"/>
    <w:rsid w:val="00F9119B"/>
    <w:rsid w:val="00F9390C"/>
    <w:rsid w:val="00F97853"/>
    <w:rsid w:val="00F97E91"/>
    <w:rsid w:val="00FA04F6"/>
    <w:rsid w:val="00FA4F1E"/>
    <w:rsid w:val="00FA6A82"/>
    <w:rsid w:val="00FB0939"/>
    <w:rsid w:val="00FB2011"/>
    <w:rsid w:val="00FB3210"/>
    <w:rsid w:val="00FB599E"/>
    <w:rsid w:val="00FB7436"/>
    <w:rsid w:val="00FC25D2"/>
    <w:rsid w:val="00FC4B5A"/>
    <w:rsid w:val="00FC4C5F"/>
    <w:rsid w:val="00FC5DC2"/>
    <w:rsid w:val="00FC6198"/>
    <w:rsid w:val="00FC6C86"/>
    <w:rsid w:val="00FC7004"/>
    <w:rsid w:val="00FC717A"/>
    <w:rsid w:val="00FD40FC"/>
    <w:rsid w:val="00FD4D92"/>
    <w:rsid w:val="00FD68C9"/>
    <w:rsid w:val="00FD76CF"/>
    <w:rsid w:val="00FE1D54"/>
    <w:rsid w:val="00FE3281"/>
    <w:rsid w:val="00FE42DB"/>
    <w:rsid w:val="00FE4950"/>
    <w:rsid w:val="00FE5FEE"/>
    <w:rsid w:val="00FE73C4"/>
    <w:rsid w:val="00FF309E"/>
    <w:rsid w:val="00FF58FD"/>
    <w:rsid w:val="00FF6084"/>
    <w:rsid w:val="00FF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8F7D"/>
  <w15:chartTrackingRefBased/>
  <w15:docId w15:val="{B8366D61-4EDE-4E4D-94FE-665D1FC2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FA04F6"/>
    <w:pPr>
      <w:keepNext/>
      <w:spacing w:before="240" w:after="60" w:line="240" w:lineRule="auto"/>
      <w:outlineLvl w:val="2"/>
    </w:pPr>
    <w:rPr>
      <w:rFonts w:ascii="Bookman Old Style" w:eastAsia="Times New Roman" w:hAnsi="Bookman Old Style"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6E1B"/>
    <w:pPr>
      <w:ind w:left="720"/>
      <w:contextualSpacing/>
    </w:pPr>
  </w:style>
  <w:style w:type="paragraph" w:styleId="Header">
    <w:name w:val="header"/>
    <w:basedOn w:val="Normal"/>
    <w:link w:val="HeaderChar"/>
    <w:uiPriority w:val="99"/>
    <w:unhideWhenUsed/>
    <w:rsid w:val="00441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DE4"/>
  </w:style>
  <w:style w:type="paragraph" w:styleId="Footer">
    <w:name w:val="footer"/>
    <w:basedOn w:val="Normal"/>
    <w:link w:val="FooterChar"/>
    <w:uiPriority w:val="99"/>
    <w:unhideWhenUsed/>
    <w:rsid w:val="00441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DE4"/>
  </w:style>
  <w:style w:type="character" w:customStyle="1" w:styleId="Heading3Char">
    <w:name w:val="Heading 3 Char"/>
    <w:basedOn w:val="DefaultParagraphFont"/>
    <w:link w:val="Heading3"/>
    <w:uiPriority w:val="9"/>
    <w:rsid w:val="00FA04F6"/>
    <w:rPr>
      <w:rFonts w:ascii="Bookman Old Style" w:eastAsia="Times New Roman" w:hAnsi="Bookman Old Style" w:cs="Times New Roman"/>
      <w:b/>
      <w:bCs/>
      <w:sz w:val="28"/>
      <w:szCs w:val="26"/>
    </w:rPr>
  </w:style>
  <w:style w:type="paragraph" w:styleId="NoSpacing">
    <w:name w:val="No Spacing"/>
    <w:uiPriority w:val="1"/>
    <w:qFormat/>
    <w:rsid w:val="00FA04F6"/>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FC2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5D2"/>
    <w:rPr>
      <w:rFonts w:ascii="Segoe UI" w:hAnsi="Segoe UI" w:cs="Segoe UI"/>
      <w:sz w:val="18"/>
      <w:szCs w:val="18"/>
    </w:rPr>
  </w:style>
  <w:style w:type="table" w:styleId="TableGrid">
    <w:name w:val="Table Grid"/>
    <w:basedOn w:val="TableNormal"/>
    <w:uiPriority w:val="39"/>
    <w:rsid w:val="00835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38A"/>
    <w:rPr>
      <w:sz w:val="16"/>
      <w:szCs w:val="16"/>
    </w:rPr>
  </w:style>
  <w:style w:type="paragraph" w:styleId="CommentText">
    <w:name w:val="annotation text"/>
    <w:basedOn w:val="Normal"/>
    <w:link w:val="CommentTextChar"/>
    <w:uiPriority w:val="99"/>
    <w:unhideWhenUsed/>
    <w:rsid w:val="008D138A"/>
    <w:pPr>
      <w:spacing w:line="240" w:lineRule="auto"/>
    </w:pPr>
    <w:rPr>
      <w:sz w:val="20"/>
      <w:szCs w:val="20"/>
    </w:rPr>
  </w:style>
  <w:style w:type="character" w:customStyle="1" w:styleId="CommentTextChar">
    <w:name w:val="Comment Text Char"/>
    <w:basedOn w:val="DefaultParagraphFont"/>
    <w:link w:val="CommentText"/>
    <w:uiPriority w:val="99"/>
    <w:rsid w:val="008D138A"/>
    <w:rPr>
      <w:sz w:val="20"/>
      <w:szCs w:val="20"/>
    </w:rPr>
  </w:style>
  <w:style w:type="paragraph" w:styleId="CommentSubject">
    <w:name w:val="annotation subject"/>
    <w:basedOn w:val="CommentText"/>
    <w:next w:val="CommentText"/>
    <w:link w:val="CommentSubjectChar"/>
    <w:uiPriority w:val="99"/>
    <w:semiHidden/>
    <w:unhideWhenUsed/>
    <w:rsid w:val="008D138A"/>
    <w:rPr>
      <w:b/>
      <w:bCs/>
    </w:rPr>
  </w:style>
  <w:style w:type="character" w:customStyle="1" w:styleId="CommentSubjectChar">
    <w:name w:val="Comment Subject Char"/>
    <w:basedOn w:val="CommentTextChar"/>
    <w:link w:val="CommentSubject"/>
    <w:uiPriority w:val="99"/>
    <w:semiHidden/>
    <w:rsid w:val="008D138A"/>
    <w:rPr>
      <w:b/>
      <w:bCs/>
      <w:sz w:val="20"/>
      <w:szCs w:val="20"/>
    </w:rPr>
  </w:style>
  <w:style w:type="character" w:customStyle="1" w:styleId="ListParagraphChar">
    <w:name w:val="List Paragraph Char"/>
    <w:link w:val="ListParagraph"/>
    <w:uiPriority w:val="1"/>
    <w:locked/>
    <w:rsid w:val="000333C4"/>
  </w:style>
  <w:style w:type="character" w:styleId="Strong">
    <w:name w:val="Strong"/>
    <w:basedOn w:val="DefaultParagraphFont"/>
    <w:uiPriority w:val="22"/>
    <w:qFormat/>
    <w:rsid w:val="007F6BD4"/>
    <w:rPr>
      <w:b/>
      <w:bCs/>
    </w:rPr>
  </w:style>
  <w:style w:type="paragraph" w:customStyle="1" w:styleId="Body">
    <w:name w:val="Body"/>
    <w:rsid w:val="007F6BD4"/>
    <w:pPr>
      <w:pBdr>
        <w:top w:val="nil"/>
        <w:left w:val="nil"/>
        <w:bottom w:val="nil"/>
        <w:right w:val="nil"/>
        <w:between w:val="nil"/>
        <w:bar w:val="nil"/>
      </w:pBdr>
      <w:spacing w:after="0" w:line="240" w:lineRule="auto"/>
      <w:jc w:val="both"/>
    </w:pPr>
    <w:rPr>
      <w:rFonts w:ascii="Avenir Book" w:eastAsia="Arial Unicode MS" w:hAnsi="Avenir Book" w:cs="Arial Unicode MS"/>
      <w:color w:val="000000"/>
      <w:bdr w:val="nil"/>
    </w:rPr>
  </w:style>
  <w:style w:type="paragraph" w:customStyle="1" w:styleId="TableStyle3">
    <w:name w:val="Table Style 3"/>
    <w:rsid w:val="007F6BD4"/>
    <w:pPr>
      <w:pBdr>
        <w:top w:val="nil"/>
        <w:left w:val="nil"/>
        <w:bottom w:val="nil"/>
        <w:right w:val="nil"/>
        <w:between w:val="nil"/>
        <w:bar w:val="nil"/>
      </w:pBdr>
      <w:spacing w:after="0" w:line="240" w:lineRule="auto"/>
    </w:pPr>
    <w:rPr>
      <w:rFonts w:ascii="Helvetica Neue" w:eastAsia="Helvetica Neue" w:hAnsi="Helvetica Neue" w:cs="Helvetica Neue"/>
      <w:b/>
      <w:bCs/>
      <w:color w:val="FEFFFE"/>
      <w:sz w:val="20"/>
      <w:szCs w:val="20"/>
      <w:bdr w:val="nil"/>
    </w:rPr>
  </w:style>
  <w:style w:type="paragraph" w:customStyle="1" w:styleId="TableStyle2">
    <w:name w:val="Table Style 2"/>
    <w:rsid w:val="007F6BD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505">
      <w:bodyDiv w:val="1"/>
      <w:marLeft w:val="0"/>
      <w:marRight w:val="0"/>
      <w:marTop w:val="0"/>
      <w:marBottom w:val="0"/>
      <w:divBdr>
        <w:top w:val="none" w:sz="0" w:space="0" w:color="auto"/>
        <w:left w:val="none" w:sz="0" w:space="0" w:color="auto"/>
        <w:bottom w:val="none" w:sz="0" w:space="0" w:color="auto"/>
        <w:right w:val="none" w:sz="0" w:space="0" w:color="auto"/>
      </w:divBdr>
    </w:div>
    <w:div w:id="41634561">
      <w:bodyDiv w:val="1"/>
      <w:marLeft w:val="0"/>
      <w:marRight w:val="0"/>
      <w:marTop w:val="0"/>
      <w:marBottom w:val="0"/>
      <w:divBdr>
        <w:top w:val="none" w:sz="0" w:space="0" w:color="auto"/>
        <w:left w:val="none" w:sz="0" w:space="0" w:color="auto"/>
        <w:bottom w:val="none" w:sz="0" w:space="0" w:color="auto"/>
        <w:right w:val="none" w:sz="0" w:space="0" w:color="auto"/>
      </w:divBdr>
    </w:div>
    <w:div w:id="158426495">
      <w:bodyDiv w:val="1"/>
      <w:marLeft w:val="0"/>
      <w:marRight w:val="0"/>
      <w:marTop w:val="0"/>
      <w:marBottom w:val="0"/>
      <w:divBdr>
        <w:top w:val="none" w:sz="0" w:space="0" w:color="auto"/>
        <w:left w:val="none" w:sz="0" w:space="0" w:color="auto"/>
        <w:bottom w:val="none" w:sz="0" w:space="0" w:color="auto"/>
        <w:right w:val="none" w:sz="0" w:space="0" w:color="auto"/>
      </w:divBdr>
    </w:div>
    <w:div w:id="160974934">
      <w:bodyDiv w:val="1"/>
      <w:marLeft w:val="0"/>
      <w:marRight w:val="0"/>
      <w:marTop w:val="0"/>
      <w:marBottom w:val="0"/>
      <w:divBdr>
        <w:top w:val="none" w:sz="0" w:space="0" w:color="auto"/>
        <w:left w:val="none" w:sz="0" w:space="0" w:color="auto"/>
        <w:bottom w:val="none" w:sz="0" w:space="0" w:color="auto"/>
        <w:right w:val="none" w:sz="0" w:space="0" w:color="auto"/>
      </w:divBdr>
    </w:div>
    <w:div w:id="190413008">
      <w:bodyDiv w:val="1"/>
      <w:marLeft w:val="0"/>
      <w:marRight w:val="0"/>
      <w:marTop w:val="0"/>
      <w:marBottom w:val="0"/>
      <w:divBdr>
        <w:top w:val="none" w:sz="0" w:space="0" w:color="auto"/>
        <w:left w:val="none" w:sz="0" w:space="0" w:color="auto"/>
        <w:bottom w:val="none" w:sz="0" w:space="0" w:color="auto"/>
        <w:right w:val="none" w:sz="0" w:space="0" w:color="auto"/>
      </w:divBdr>
    </w:div>
    <w:div w:id="317610159">
      <w:bodyDiv w:val="1"/>
      <w:marLeft w:val="0"/>
      <w:marRight w:val="0"/>
      <w:marTop w:val="0"/>
      <w:marBottom w:val="0"/>
      <w:divBdr>
        <w:top w:val="none" w:sz="0" w:space="0" w:color="auto"/>
        <w:left w:val="none" w:sz="0" w:space="0" w:color="auto"/>
        <w:bottom w:val="none" w:sz="0" w:space="0" w:color="auto"/>
        <w:right w:val="none" w:sz="0" w:space="0" w:color="auto"/>
      </w:divBdr>
    </w:div>
    <w:div w:id="330985767">
      <w:bodyDiv w:val="1"/>
      <w:marLeft w:val="0"/>
      <w:marRight w:val="0"/>
      <w:marTop w:val="0"/>
      <w:marBottom w:val="0"/>
      <w:divBdr>
        <w:top w:val="none" w:sz="0" w:space="0" w:color="auto"/>
        <w:left w:val="none" w:sz="0" w:space="0" w:color="auto"/>
        <w:bottom w:val="none" w:sz="0" w:space="0" w:color="auto"/>
        <w:right w:val="none" w:sz="0" w:space="0" w:color="auto"/>
      </w:divBdr>
    </w:div>
    <w:div w:id="419761939">
      <w:bodyDiv w:val="1"/>
      <w:marLeft w:val="0"/>
      <w:marRight w:val="0"/>
      <w:marTop w:val="0"/>
      <w:marBottom w:val="0"/>
      <w:divBdr>
        <w:top w:val="none" w:sz="0" w:space="0" w:color="auto"/>
        <w:left w:val="none" w:sz="0" w:space="0" w:color="auto"/>
        <w:bottom w:val="none" w:sz="0" w:space="0" w:color="auto"/>
        <w:right w:val="none" w:sz="0" w:space="0" w:color="auto"/>
      </w:divBdr>
    </w:div>
    <w:div w:id="436607842">
      <w:bodyDiv w:val="1"/>
      <w:marLeft w:val="0"/>
      <w:marRight w:val="0"/>
      <w:marTop w:val="0"/>
      <w:marBottom w:val="0"/>
      <w:divBdr>
        <w:top w:val="none" w:sz="0" w:space="0" w:color="auto"/>
        <w:left w:val="none" w:sz="0" w:space="0" w:color="auto"/>
        <w:bottom w:val="none" w:sz="0" w:space="0" w:color="auto"/>
        <w:right w:val="none" w:sz="0" w:space="0" w:color="auto"/>
      </w:divBdr>
    </w:div>
    <w:div w:id="509951743">
      <w:bodyDiv w:val="1"/>
      <w:marLeft w:val="0"/>
      <w:marRight w:val="0"/>
      <w:marTop w:val="0"/>
      <w:marBottom w:val="0"/>
      <w:divBdr>
        <w:top w:val="none" w:sz="0" w:space="0" w:color="auto"/>
        <w:left w:val="none" w:sz="0" w:space="0" w:color="auto"/>
        <w:bottom w:val="none" w:sz="0" w:space="0" w:color="auto"/>
        <w:right w:val="none" w:sz="0" w:space="0" w:color="auto"/>
      </w:divBdr>
    </w:div>
    <w:div w:id="568804996">
      <w:bodyDiv w:val="1"/>
      <w:marLeft w:val="0"/>
      <w:marRight w:val="0"/>
      <w:marTop w:val="0"/>
      <w:marBottom w:val="0"/>
      <w:divBdr>
        <w:top w:val="none" w:sz="0" w:space="0" w:color="auto"/>
        <w:left w:val="none" w:sz="0" w:space="0" w:color="auto"/>
        <w:bottom w:val="none" w:sz="0" w:space="0" w:color="auto"/>
        <w:right w:val="none" w:sz="0" w:space="0" w:color="auto"/>
      </w:divBdr>
    </w:div>
    <w:div w:id="610934465">
      <w:bodyDiv w:val="1"/>
      <w:marLeft w:val="0"/>
      <w:marRight w:val="0"/>
      <w:marTop w:val="0"/>
      <w:marBottom w:val="0"/>
      <w:divBdr>
        <w:top w:val="none" w:sz="0" w:space="0" w:color="auto"/>
        <w:left w:val="none" w:sz="0" w:space="0" w:color="auto"/>
        <w:bottom w:val="none" w:sz="0" w:space="0" w:color="auto"/>
        <w:right w:val="none" w:sz="0" w:space="0" w:color="auto"/>
      </w:divBdr>
    </w:div>
    <w:div w:id="752822482">
      <w:bodyDiv w:val="1"/>
      <w:marLeft w:val="0"/>
      <w:marRight w:val="0"/>
      <w:marTop w:val="0"/>
      <w:marBottom w:val="0"/>
      <w:divBdr>
        <w:top w:val="none" w:sz="0" w:space="0" w:color="auto"/>
        <w:left w:val="none" w:sz="0" w:space="0" w:color="auto"/>
        <w:bottom w:val="none" w:sz="0" w:space="0" w:color="auto"/>
        <w:right w:val="none" w:sz="0" w:space="0" w:color="auto"/>
      </w:divBdr>
    </w:div>
    <w:div w:id="852650600">
      <w:bodyDiv w:val="1"/>
      <w:marLeft w:val="0"/>
      <w:marRight w:val="0"/>
      <w:marTop w:val="0"/>
      <w:marBottom w:val="0"/>
      <w:divBdr>
        <w:top w:val="none" w:sz="0" w:space="0" w:color="auto"/>
        <w:left w:val="none" w:sz="0" w:space="0" w:color="auto"/>
        <w:bottom w:val="none" w:sz="0" w:space="0" w:color="auto"/>
        <w:right w:val="none" w:sz="0" w:space="0" w:color="auto"/>
      </w:divBdr>
    </w:div>
    <w:div w:id="899827988">
      <w:bodyDiv w:val="1"/>
      <w:marLeft w:val="0"/>
      <w:marRight w:val="0"/>
      <w:marTop w:val="0"/>
      <w:marBottom w:val="0"/>
      <w:divBdr>
        <w:top w:val="none" w:sz="0" w:space="0" w:color="auto"/>
        <w:left w:val="none" w:sz="0" w:space="0" w:color="auto"/>
        <w:bottom w:val="none" w:sz="0" w:space="0" w:color="auto"/>
        <w:right w:val="none" w:sz="0" w:space="0" w:color="auto"/>
      </w:divBdr>
    </w:div>
    <w:div w:id="917439285">
      <w:bodyDiv w:val="1"/>
      <w:marLeft w:val="0"/>
      <w:marRight w:val="0"/>
      <w:marTop w:val="0"/>
      <w:marBottom w:val="0"/>
      <w:divBdr>
        <w:top w:val="none" w:sz="0" w:space="0" w:color="auto"/>
        <w:left w:val="none" w:sz="0" w:space="0" w:color="auto"/>
        <w:bottom w:val="none" w:sz="0" w:space="0" w:color="auto"/>
        <w:right w:val="none" w:sz="0" w:space="0" w:color="auto"/>
      </w:divBdr>
    </w:div>
    <w:div w:id="956182147">
      <w:bodyDiv w:val="1"/>
      <w:marLeft w:val="0"/>
      <w:marRight w:val="0"/>
      <w:marTop w:val="0"/>
      <w:marBottom w:val="0"/>
      <w:divBdr>
        <w:top w:val="none" w:sz="0" w:space="0" w:color="auto"/>
        <w:left w:val="none" w:sz="0" w:space="0" w:color="auto"/>
        <w:bottom w:val="none" w:sz="0" w:space="0" w:color="auto"/>
        <w:right w:val="none" w:sz="0" w:space="0" w:color="auto"/>
      </w:divBdr>
    </w:div>
    <w:div w:id="967008088">
      <w:bodyDiv w:val="1"/>
      <w:marLeft w:val="0"/>
      <w:marRight w:val="0"/>
      <w:marTop w:val="0"/>
      <w:marBottom w:val="0"/>
      <w:divBdr>
        <w:top w:val="none" w:sz="0" w:space="0" w:color="auto"/>
        <w:left w:val="none" w:sz="0" w:space="0" w:color="auto"/>
        <w:bottom w:val="none" w:sz="0" w:space="0" w:color="auto"/>
        <w:right w:val="none" w:sz="0" w:space="0" w:color="auto"/>
      </w:divBdr>
    </w:div>
    <w:div w:id="1002708030">
      <w:bodyDiv w:val="1"/>
      <w:marLeft w:val="0"/>
      <w:marRight w:val="0"/>
      <w:marTop w:val="0"/>
      <w:marBottom w:val="0"/>
      <w:divBdr>
        <w:top w:val="none" w:sz="0" w:space="0" w:color="auto"/>
        <w:left w:val="none" w:sz="0" w:space="0" w:color="auto"/>
        <w:bottom w:val="none" w:sz="0" w:space="0" w:color="auto"/>
        <w:right w:val="none" w:sz="0" w:space="0" w:color="auto"/>
      </w:divBdr>
    </w:div>
    <w:div w:id="1055424443">
      <w:bodyDiv w:val="1"/>
      <w:marLeft w:val="0"/>
      <w:marRight w:val="0"/>
      <w:marTop w:val="0"/>
      <w:marBottom w:val="0"/>
      <w:divBdr>
        <w:top w:val="none" w:sz="0" w:space="0" w:color="auto"/>
        <w:left w:val="none" w:sz="0" w:space="0" w:color="auto"/>
        <w:bottom w:val="none" w:sz="0" w:space="0" w:color="auto"/>
        <w:right w:val="none" w:sz="0" w:space="0" w:color="auto"/>
      </w:divBdr>
    </w:div>
    <w:div w:id="1062217649">
      <w:bodyDiv w:val="1"/>
      <w:marLeft w:val="0"/>
      <w:marRight w:val="0"/>
      <w:marTop w:val="0"/>
      <w:marBottom w:val="0"/>
      <w:divBdr>
        <w:top w:val="none" w:sz="0" w:space="0" w:color="auto"/>
        <w:left w:val="none" w:sz="0" w:space="0" w:color="auto"/>
        <w:bottom w:val="none" w:sz="0" w:space="0" w:color="auto"/>
        <w:right w:val="none" w:sz="0" w:space="0" w:color="auto"/>
      </w:divBdr>
    </w:div>
    <w:div w:id="1193423494">
      <w:bodyDiv w:val="1"/>
      <w:marLeft w:val="0"/>
      <w:marRight w:val="0"/>
      <w:marTop w:val="0"/>
      <w:marBottom w:val="0"/>
      <w:divBdr>
        <w:top w:val="none" w:sz="0" w:space="0" w:color="auto"/>
        <w:left w:val="none" w:sz="0" w:space="0" w:color="auto"/>
        <w:bottom w:val="none" w:sz="0" w:space="0" w:color="auto"/>
        <w:right w:val="none" w:sz="0" w:space="0" w:color="auto"/>
      </w:divBdr>
    </w:div>
    <w:div w:id="1336611266">
      <w:bodyDiv w:val="1"/>
      <w:marLeft w:val="0"/>
      <w:marRight w:val="0"/>
      <w:marTop w:val="0"/>
      <w:marBottom w:val="0"/>
      <w:divBdr>
        <w:top w:val="none" w:sz="0" w:space="0" w:color="auto"/>
        <w:left w:val="none" w:sz="0" w:space="0" w:color="auto"/>
        <w:bottom w:val="none" w:sz="0" w:space="0" w:color="auto"/>
        <w:right w:val="none" w:sz="0" w:space="0" w:color="auto"/>
      </w:divBdr>
    </w:div>
    <w:div w:id="1392579897">
      <w:bodyDiv w:val="1"/>
      <w:marLeft w:val="0"/>
      <w:marRight w:val="0"/>
      <w:marTop w:val="0"/>
      <w:marBottom w:val="0"/>
      <w:divBdr>
        <w:top w:val="none" w:sz="0" w:space="0" w:color="auto"/>
        <w:left w:val="none" w:sz="0" w:space="0" w:color="auto"/>
        <w:bottom w:val="none" w:sz="0" w:space="0" w:color="auto"/>
        <w:right w:val="none" w:sz="0" w:space="0" w:color="auto"/>
      </w:divBdr>
    </w:div>
    <w:div w:id="1481727665">
      <w:bodyDiv w:val="1"/>
      <w:marLeft w:val="0"/>
      <w:marRight w:val="0"/>
      <w:marTop w:val="0"/>
      <w:marBottom w:val="0"/>
      <w:divBdr>
        <w:top w:val="none" w:sz="0" w:space="0" w:color="auto"/>
        <w:left w:val="none" w:sz="0" w:space="0" w:color="auto"/>
        <w:bottom w:val="none" w:sz="0" w:space="0" w:color="auto"/>
        <w:right w:val="none" w:sz="0" w:space="0" w:color="auto"/>
      </w:divBdr>
    </w:div>
    <w:div w:id="1483352540">
      <w:bodyDiv w:val="1"/>
      <w:marLeft w:val="0"/>
      <w:marRight w:val="0"/>
      <w:marTop w:val="0"/>
      <w:marBottom w:val="0"/>
      <w:divBdr>
        <w:top w:val="none" w:sz="0" w:space="0" w:color="auto"/>
        <w:left w:val="none" w:sz="0" w:space="0" w:color="auto"/>
        <w:bottom w:val="none" w:sz="0" w:space="0" w:color="auto"/>
        <w:right w:val="none" w:sz="0" w:space="0" w:color="auto"/>
      </w:divBdr>
    </w:div>
    <w:div w:id="1528105955">
      <w:bodyDiv w:val="1"/>
      <w:marLeft w:val="0"/>
      <w:marRight w:val="0"/>
      <w:marTop w:val="0"/>
      <w:marBottom w:val="0"/>
      <w:divBdr>
        <w:top w:val="none" w:sz="0" w:space="0" w:color="auto"/>
        <w:left w:val="none" w:sz="0" w:space="0" w:color="auto"/>
        <w:bottom w:val="none" w:sz="0" w:space="0" w:color="auto"/>
        <w:right w:val="none" w:sz="0" w:space="0" w:color="auto"/>
      </w:divBdr>
    </w:div>
    <w:div w:id="1668441777">
      <w:bodyDiv w:val="1"/>
      <w:marLeft w:val="0"/>
      <w:marRight w:val="0"/>
      <w:marTop w:val="0"/>
      <w:marBottom w:val="0"/>
      <w:divBdr>
        <w:top w:val="none" w:sz="0" w:space="0" w:color="auto"/>
        <w:left w:val="none" w:sz="0" w:space="0" w:color="auto"/>
        <w:bottom w:val="none" w:sz="0" w:space="0" w:color="auto"/>
        <w:right w:val="none" w:sz="0" w:space="0" w:color="auto"/>
      </w:divBdr>
    </w:div>
    <w:div w:id="1717658523">
      <w:bodyDiv w:val="1"/>
      <w:marLeft w:val="0"/>
      <w:marRight w:val="0"/>
      <w:marTop w:val="0"/>
      <w:marBottom w:val="0"/>
      <w:divBdr>
        <w:top w:val="none" w:sz="0" w:space="0" w:color="auto"/>
        <w:left w:val="none" w:sz="0" w:space="0" w:color="auto"/>
        <w:bottom w:val="none" w:sz="0" w:space="0" w:color="auto"/>
        <w:right w:val="none" w:sz="0" w:space="0" w:color="auto"/>
      </w:divBdr>
    </w:div>
    <w:div w:id="1746368117">
      <w:bodyDiv w:val="1"/>
      <w:marLeft w:val="0"/>
      <w:marRight w:val="0"/>
      <w:marTop w:val="0"/>
      <w:marBottom w:val="0"/>
      <w:divBdr>
        <w:top w:val="none" w:sz="0" w:space="0" w:color="auto"/>
        <w:left w:val="none" w:sz="0" w:space="0" w:color="auto"/>
        <w:bottom w:val="none" w:sz="0" w:space="0" w:color="auto"/>
        <w:right w:val="none" w:sz="0" w:space="0" w:color="auto"/>
      </w:divBdr>
    </w:div>
    <w:div w:id="1770659074">
      <w:bodyDiv w:val="1"/>
      <w:marLeft w:val="0"/>
      <w:marRight w:val="0"/>
      <w:marTop w:val="0"/>
      <w:marBottom w:val="0"/>
      <w:divBdr>
        <w:top w:val="none" w:sz="0" w:space="0" w:color="auto"/>
        <w:left w:val="none" w:sz="0" w:space="0" w:color="auto"/>
        <w:bottom w:val="none" w:sz="0" w:space="0" w:color="auto"/>
        <w:right w:val="none" w:sz="0" w:space="0" w:color="auto"/>
      </w:divBdr>
    </w:div>
    <w:div w:id="1880824302">
      <w:bodyDiv w:val="1"/>
      <w:marLeft w:val="0"/>
      <w:marRight w:val="0"/>
      <w:marTop w:val="0"/>
      <w:marBottom w:val="0"/>
      <w:divBdr>
        <w:top w:val="none" w:sz="0" w:space="0" w:color="auto"/>
        <w:left w:val="none" w:sz="0" w:space="0" w:color="auto"/>
        <w:bottom w:val="none" w:sz="0" w:space="0" w:color="auto"/>
        <w:right w:val="none" w:sz="0" w:space="0" w:color="auto"/>
      </w:divBdr>
    </w:div>
    <w:div w:id="1892888671">
      <w:bodyDiv w:val="1"/>
      <w:marLeft w:val="0"/>
      <w:marRight w:val="0"/>
      <w:marTop w:val="0"/>
      <w:marBottom w:val="0"/>
      <w:divBdr>
        <w:top w:val="none" w:sz="0" w:space="0" w:color="auto"/>
        <w:left w:val="none" w:sz="0" w:space="0" w:color="auto"/>
        <w:bottom w:val="none" w:sz="0" w:space="0" w:color="auto"/>
        <w:right w:val="none" w:sz="0" w:space="0" w:color="auto"/>
      </w:divBdr>
    </w:div>
    <w:div w:id="1920358546">
      <w:bodyDiv w:val="1"/>
      <w:marLeft w:val="0"/>
      <w:marRight w:val="0"/>
      <w:marTop w:val="0"/>
      <w:marBottom w:val="0"/>
      <w:divBdr>
        <w:top w:val="none" w:sz="0" w:space="0" w:color="auto"/>
        <w:left w:val="none" w:sz="0" w:space="0" w:color="auto"/>
        <w:bottom w:val="none" w:sz="0" w:space="0" w:color="auto"/>
        <w:right w:val="none" w:sz="0" w:space="0" w:color="auto"/>
      </w:divBdr>
    </w:div>
    <w:div w:id="2022511978">
      <w:bodyDiv w:val="1"/>
      <w:marLeft w:val="0"/>
      <w:marRight w:val="0"/>
      <w:marTop w:val="0"/>
      <w:marBottom w:val="0"/>
      <w:divBdr>
        <w:top w:val="none" w:sz="0" w:space="0" w:color="auto"/>
        <w:left w:val="none" w:sz="0" w:space="0" w:color="auto"/>
        <w:bottom w:val="none" w:sz="0" w:space="0" w:color="auto"/>
        <w:right w:val="none" w:sz="0" w:space="0" w:color="auto"/>
      </w:divBdr>
    </w:div>
    <w:div w:id="2053069969">
      <w:bodyDiv w:val="1"/>
      <w:marLeft w:val="0"/>
      <w:marRight w:val="0"/>
      <w:marTop w:val="0"/>
      <w:marBottom w:val="0"/>
      <w:divBdr>
        <w:top w:val="none" w:sz="0" w:space="0" w:color="auto"/>
        <w:left w:val="none" w:sz="0" w:space="0" w:color="auto"/>
        <w:bottom w:val="none" w:sz="0" w:space="0" w:color="auto"/>
        <w:right w:val="none" w:sz="0" w:space="0" w:color="auto"/>
      </w:divBdr>
    </w:div>
    <w:div w:id="209782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82D7F2091F41869BA1BC4B322E13" ma:contentTypeVersion="16" ma:contentTypeDescription="Create a new document." ma:contentTypeScope="" ma:versionID="c288b7d39a1592d7ef49000b00816adf">
  <xsd:schema xmlns:xsd="http://www.w3.org/2001/XMLSchema" xmlns:xs="http://www.w3.org/2001/XMLSchema" xmlns:p="http://schemas.microsoft.com/office/2006/metadata/properties" xmlns:ns2="fb3755fa-05ff-4bdd-9bce-8933e8d8d891" xmlns:ns3="00fd4468-20d9-4049-b422-da74cf9fb12e" targetNamespace="http://schemas.microsoft.com/office/2006/metadata/properties" ma:root="true" ma:fieldsID="66b7ff5c981286534f82c610b5c810cb" ns2:_="" ns3:_="">
    <xsd:import namespace="fb3755fa-05ff-4bdd-9bce-8933e8d8d891"/>
    <xsd:import namespace="00fd4468-20d9-4049-b422-da74cf9fb1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55fa-05ff-4bdd-9bce-8933e8d8d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055090-a6ba-48d2-afb2-6210824f9d9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d4468-20d9-4049-b422-da74cf9fb1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778354-669d-4f34-aeaa-c63f617c9d7a}" ma:internalName="TaxCatchAll" ma:showField="CatchAllData" ma:web="00fd4468-20d9-4049-b422-da74cf9fb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fd4468-20d9-4049-b422-da74cf9fb12e" xsi:nil="true"/>
    <lcf76f155ced4ddcb4097134ff3c332f xmlns="fb3755fa-05ff-4bdd-9bce-8933e8d8d8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B6A51-651A-43E4-A45A-D3D7093C4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55fa-05ff-4bdd-9bce-8933e8d8d891"/>
    <ds:schemaRef ds:uri="00fd4468-20d9-4049-b422-da74cf9f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F0713-6D02-48D4-8A91-96F8D5A0FC82}">
  <ds:schemaRefs>
    <ds:schemaRef ds:uri="http://schemas.microsoft.com/office/2006/metadata/properties"/>
    <ds:schemaRef ds:uri="http://schemas.microsoft.com/office/infopath/2007/PartnerControls"/>
    <ds:schemaRef ds:uri="00fd4468-20d9-4049-b422-da74cf9fb12e"/>
    <ds:schemaRef ds:uri="fb3755fa-05ff-4bdd-9bce-8933e8d8d891"/>
  </ds:schemaRefs>
</ds:datastoreItem>
</file>

<file path=customXml/itemProps3.xml><?xml version="1.0" encoding="utf-8"?>
<ds:datastoreItem xmlns:ds="http://schemas.openxmlformats.org/officeDocument/2006/customXml" ds:itemID="{042DE59C-CE36-4C9E-967C-6A89D31386CE}">
  <ds:schemaRefs>
    <ds:schemaRef ds:uri="http://schemas.openxmlformats.org/officeDocument/2006/bibliography"/>
  </ds:schemaRefs>
</ds:datastoreItem>
</file>

<file path=customXml/itemProps4.xml><?xml version="1.0" encoding="utf-8"?>
<ds:datastoreItem xmlns:ds="http://schemas.openxmlformats.org/officeDocument/2006/customXml" ds:itemID="{43934EF1-FAE4-4F6D-B039-599D03D0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7266</Words>
  <Characters>41421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Mahendrasing Khooblall</dc:creator>
  <cp:keywords/>
  <dc:description/>
  <cp:lastModifiedBy>Agnes Lilungwe</cp:lastModifiedBy>
  <cp:revision>7</cp:revision>
  <cp:lastPrinted>2020-11-26T08:39:00Z</cp:lastPrinted>
  <dcterms:created xsi:type="dcterms:W3CDTF">2022-11-24T12:55:00Z</dcterms:created>
  <dcterms:modified xsi:type="dcterms:W3CDTF">2022-11-25T13:47:00Z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0x010100D75E17CAA1D3674D9BEE23BEE206BF80</vt:lpwstr>
  </property>
  <property fmtid="{D5CDD505-2E9C-101B-9397-08002B2CF9AE}" pid="3" name="MediaServiceImageTags">
    <vt:lpwstr/>
  </property>
</Properties>
</file>