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B683" w14:textId="77777777" w:rsidR="003C6683" w:rsidRPr="00C361DD" w:rsidRDefault="00F05443" w:rsidP="003C6683">
      <w:pPr>
        <w:ind w:firstLine="0"/>
        <w:jc w:val="center"/>
        <w:rPr>
          <w:rFonts w:ascii="Bookman Old Style" w:eastAsia="Calibri" w:hAnsi="Bookman Old Style" w:cs="Arial"/>
          <w:b/>
          <w:sz w:val="24"/>
          <w:szCs w:val="24"/>
          <w:u w:val="single"/>
        </w:rPr>
      </w:pPr>
      <w:r>
        <w:rPr>
          <w:noProof/>
          <w:color w:val="000000"/>
        </w:rPr>
        <w:drawing>
          <wp:inline distT="0" distB="0" distL="0" distR="0" wp14:anchorId="148CE21C" wp14:editId="3AA2E263">
            <wp:extent cx="657225" cy="831429"/>
            <wp:effectExtent l="0" t="0" r="0" b="6985"/>
            <wp:docPr id="2" name="Picture 2" descr="SADC PF Logo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 PF Logo - Small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8893" cy="833539"/>
                    </a:xfrm>
                    <a:prstGeom prst="rect">
                      <a:avLst/>
                    </a:prstGeom>
                    <a:noFill/>
                    <a:ln>
                      <a:noFill/>
                    </a:ln>
                  </pic:spPr>
                </pic:pic>
              </a:graphicData>
            </a:graphic>
          </wp:inline>
        </w:drawing>
      </w:r>
    </w:p>
    <w:p w14:paraId="30EA856D" w14:textId="77777777" w:rsidR="003C6683" w:rsidRPr="00C361DD" w:rsidRDefault="003C6683" w:rsidP="003C6683">
      <w:pPr>
        <w:spacing w:after="200" w:line="276" w:lineRule="auto"/>
        <w:ind w:firstLine="0"/>
        <w:rPr>
          <w:rFonts w:ascii="Bookman Old Style" w:eastAsiaTheme="minorHAnsi" w:hAnsi="Bookman Old Style" w:cs="Calibri"/>
          <w:b/>
          <w:noProof/>
          <w:sz w:val="24"/>
          <w:szCs w:val="24"/>
        </w:rPr>
      </w:pPr>
      <w:r>
        <w:rPr>
          <w:rFonts w:ascii="Bookman Old Style" w:hAnsi="Bookman Old Style"/>
          <w:b/>
          <w:sz w:val="24"/>
          <w:szCs w:val="24"/>
        </w:rPr>
        <w:t>___________________________________________________________________________</w:t>
      </w:r>
    </w:p>
    <w:p w14:paraId="45F34701" w14:textId="649A0A00" w:rsidR="00E262C0" w:rsidRPr="00FA3462" w:rsidRDefault="00893244" w:rsidP="00FA3462">
      <w:pPr>
        <w:spacing w:line="360" w:lineRule="auto"/>
        <w:ind w:firstLine="0"/>
        <w:jc w:val="center"/>
        <w:rPr>
          <w:rFonts w:ascii="Bookman Old Style" w:hAnsi="Bookman Old Style"/>
          <w:b/>
          <w:color w:val="000000" w:themeColor="text1"/>
          <w:sz w:val="24"/>
          <w:szCs w:val="24"/>
        </w:rPr>
      </w:pPr>
      <w:r w:rsidRPr="00FA3462">
        <w:rPr>
          <w:rFonts w:ascii="Bookman Old Style" w:hAnsi="Bookman Old Style"/>
          <w:b/>
          <w:color w:val="000000" w:themeColor="text1"/>
          <w:sz w:val="24"/>
          <w:szCs w:val="24"/>
        </w:rPr>
        <w:t>52.ª ASSEMBLEIA PLENÁRIA</w:t>
      </w:r>
    </w:p>
    <w:p w14:paraId="047E9F95" w14:textId="058DA293" w:rsidR="00893244" w:rsidRPr="00FA3462" w:rsidRDefault="00893244" w:rsidP="00FA3462">
      <w:pPr>
        <w:spacing w:line="360" w:lineRule="auto"/>
        <w:ind w:firstLine="0"/>
        <w:jc w:val="center"/>
        <w:rPr>
          <w:rFonts w:ascii="Bookman Old Style" w:hAnsi="Bookman Old Style"/>
          <w:b/>
          <w:color w:val="000000" w:themeColor="text1"/>
          <w:sz w:val="24"/>
          <w:szCs w:val="24"/>
        </w:rPr>
      </w:pPr>
      <w:r w:rsidRPr="00FA3462">
        <w:rPr>
          <w:rFonts w:ascii="Bookman Old Style" w:hAnsi="Bookman Old Style"/>
          <w:b/>
          <w:color w:val="000000" w:themeColor="text1"/>
          <w:sz w:val="24"/>
          <w:szCs w:val="24"/>
        </w:rPr>
        <w:t>1 A 11 DE DEZEMBRO DE 2022</w:t>
      </w:r>
    </w:p>
    <w:p w14:paraId="358C6040" w14:textId="77777777" w:rsidR="00893244" w:rsidRPr="00FA3462" w:rsidRDefault="00893244" w:rsidP="00FA3462">
      <w:pPr>
        <w:spacing w:line="360" w:lineRule="auto"/>
        <w:ind w:firstLine="0"/>
        <w:jc w:val="center"/>
        <w:rPr>
          <w:rFonts w:ascii="Bookman Old Style" w:eastAsiaTheme="minorHAnsi" w:hAnsi="Bookman Old Style" w:cs="Calibri"/>
          <w:b/>
          <w:noProof/>
          <w:color w:val="000000" w:themeColor="text1"/>
          <w:sz w:val="24"/>
          <w:szCs w:val="24"/>
        </w:rPr>
      </w:pPr>
      <w:r w:rsidRPr="00FA3462">
        <w:rPr>
          <w:rFonts w:ascii="Bookman Old Style" w:hAnsi="Bookman Old Style"/>
          <w:b/>
          <w:color w:val="000000" w:themeColor="text1"/>
          <w:sz w:val="24"/>
          <w:szCs w:val="24"/>
        </w:rPr>
        <w:t>KINSHASA, REPÚBLICA DEMOCRÁTICA DO CONGO</w:t>
      </w:r>
    </w:p>
    <w:p w14:paraId="12C1ABCD" w14:textId="77777777" w:rsidR="00893244" w:rsidRPr="00FA3462" w:rsidRDefault="00893244" w:rsidP="00FA3462">
      <w:pPr>
        <w:spacing w:line="360" w:lineRule="auto"/>
        <w:ind w:firstLine="0"/>
        <w:jc w:val="center"/>
        <w:rPr>
          <w:rFonts w:ascii="Bookman Old Style" w:eastAsiaTheme="minorHAnsi" w:hAnsi="Bookman Old Style" w:cs="Calibri"/>
          <w:b/>
          <w:noProof/>
          <w:color w:val="000000" w:themeColor="text1"/>
          <w:sz w:val="24"/>
          <w:szCs w:val="24"/>
        </w:rPr>
      </w:pPr>
    </w:p>
    <w:p w14:paraId="3771EF14" w14:textId="56646695" w:rsidR="00893244" w:rsidRPr="00FA3462" w:rsidRDefault="00893244" w:rsidP="00FA3462">
      <w:pPr>
        <w:spacing w:line="360" w:lineRule="auto"/>
        <w:ind w:firstLine="0"/>
        <w:jc w:val="center"/>
        <w:rPr>
          <w:rFonts w:ascii="Bookman Old Style" w:eastAsiaTheme="minorHAnsi" w:hAnsi="Bookman Old Style" w:cs="Calibri"/>
          <w:b/>
          <w:noProof/>
          <w:color w:val="000000" w:themeColor="text1"/>
          <w:sz w:val="24"/>
          <w:szCs w:val="24"/>
        </w:rPr>
      </w:pPr>
      <w:r w:rsidRPr="00FA3462">
        <w:rPr>
          <w:rFonts w:ascii="Bookman Old Style" w:eastAsiaTheme="minorHAnsi" w:hAnsi="Bookman Old Style" w:cs="Calibri"/>
          <w:b/>
          <w:noProof/>
          <w:color w:val="000000" w:themeColor="text1"/>
          <w:sz w:val="24"/>
          <w:szCs w:val="24"/>
        </w:rPr>
        <w:t>RELATÓRIO DA COMISSÃO EXECUTIVA SOBRE AS QUESTÕES FINANCEIRAS</w:t>
      </w:r>
    </w:p>
    <w:p w14:paraId="66BDD614" w14:textId="4110C501" w:rsidR="001335DA" w:rsidRPr="00FA3462" w:rsidRDefault="00893244" w:rsidP="00FA3462">
      <w:pPr>
        <w:spacing w:line="360" w:lineRule="auto"/>
        <w:ind w:firstLine="0"/>
        <w:jc w:val="center"/>
        <w:rPr>
          <w:rFonts w:ascii="Bookman Old Style" w:eastAsiaTheme="minorHAnsi" w:hAnsi="Bookman Old Style" w:cs="Calibri"/>
          <w:b/>
          <w:noProof/>
          <w:color w:val="000000" w:themeColor="text1"/>
          <w:sz w:val="24"/>
          <w:szCs w:val="24"/>
        </w:rPr>
      </w:pPr>
      <w:r w:rsidRPr="00FA3462">
        <w:rPr>
          <w:rFonts w:ascii="Bookman Old Style" w:hAnsi="Bookman Old Style"/>
          <w:b/>
          <w:color w:val="000000" w:themeColor="text1"/>
          <w:sz w:val="24"/>
          <w:szCs w:val="24"/>
        </w:rPr>
        <w:t>(RELATÓRIO DO TESOUREIRO)</w:t>
      </w:r>
    </w:p>
    <w:p w14:paraId="4D3BA2A7" w14:textId="77777777" w:rsidR="00893244" w:rsidRPr="00FA3462" w:rsidRDefault="00893244" w:rsidP="00FA3462">
      <w:pPr>
        <w:spacing w:line="360" w:lineRule="auto"/>
        <w:ind w:left="720" w:firstLine="0"/>
        <w:jc w:val="center"/>
        <w:rPr>
          <w:rFonts w:ascii="Bookman Old Style" w:hAnsi="Bookman Old Style"/>
          <w:b/>
          <w:color w:val="000000" w:themeColor="text1"/>
          <w:sz w:val="24"/>
          <w:szCs w:val="24"/>
        </w:rPr>
      </w:pPr>
    </w:p>
    <w:p w14:paraId="718AB87E" w14:textId="3B6282AB" w:rsidR="00C30956" w:rsidRPr="00FA3462" w:rsidRDefault="001335DA" w:rsidP="00FA3462">
      <w:pPr>
        <w:spacing w:line="360" w:lineRule="auto"/>
        <w:ind w:left="720" w:firstLine="0"/>
        <w:jc w:val="center"/>
        <w:rPr>
          <w:rFonts w:ascii="Bookman Old Style" w:eastAsia="Calibri" w:hAnsi="Bookman Old Style" w:cs="Arial"/>
          <w:b/>
          <w:sz w:val="24"/>
          <w:szCs w:val="24"/>
        </w:rPr>
      </w:pPr>
      <w:r w:rsidRPr="00FA3462">
        <w:rPr>
          <w:rFonts w:ascii="Bookman Old Style" w:hAnsi="Bookman Old Style"/>
          <w:b/>
          <w:color w:val="000000" w:themeColor="text1"/>
          <w:sz w:val="24"/>
          <w:szCs w:val="24"/>
        </w:rPr>
        <w:t>DOCUMENTO 1</w:t>
      </w:r>
    </w:p>
    <w:p w14:paraId="2FD488C6" w14:textId="71D4AAB0" w:rsidR="001335DA" w:rsidRDefault="001335DA" w:rsidP="00FA3462">
      <w:pPr>
        <w:spacing w:line="360" w:lineRule="auto"/>
        <w:ind w:left="720" w:firstLine="0"/>
        <w:jc w:val="center"/>
        <w:rPr>
          <w:rFonts w:ascii="Bookman Old Style" w:eastAsia="Calibri" w:hAnsi="Bookman Old Style" w:cs="Arial"/>
          <w:b/>
          <w:sz w:val="24"/>
          <w:szCs w:val="24"/>
        </w:rPr>
      </w:pPr>
      <w:r w:rsidRPr="00FA3462">
        <w:rPr>
          <w:rFonts w:ascii="Bookman Old Style" w:hAnsi="Bookman Old Style"/>
          <w:b/>
          <w:sz w:val="24"/>
          <w:szCs w:val="24"/>
        </w:rPr>
        <w:t>DEMONSTRAÇÕES FINANCEIRAS AUDITADAS DO EXERCÍCIO FINDO EM 31 MARCO DE 2022</w:t>
      </w:r>
    </w:p>
    <w:p w14:paraId="20F7C3B6" w14:textId="078FE0CF" w:rsidR="00E262C0" w:rsidRPr="00F5229A" w:rsidRDefault="00E262C0" w:rsidP="00FA3462">
      <w:pPr>
        <w:spacing w:line="360" w:lineRule="auto"/>
        <w:ind w:firstLine="0"/>
        <w:jc w:val="center"/>
        <w:rPr>
          <w:rFonts w:ascii="Bookman Old Style" w:eastAsiaTheme="minorHAnsi" w:hAnsi="Bookman Old Style" w:cs="Calibri"/>
          <w:b/>
          <w:noProof/>
          <w:color w:val="000000" w:themeColor="text1"/>
          <w:sz w:val="24"/>
          <w:szCs w:val="24"/>
          <w:lang w:eastAsia="zh-CN" w:bidi="ar-SA"/>
        </w:rPr>
      </w:pPr>
    </w:p>
    <w:p w14:paraId="070EFF41" w14:textId="77777777" w:rsidR="00E262C0" w:rsidRPr="00F5229A" w:rsidRDefault="00E262C0" w:rsidP="00E262C0">
      <w:pPr>
        <w:pBdr>
          <w:bottom w:val="single" w:sz="6" w:space="1" w:color="auto"/>
        </w:pBdr>
        <w:spacing w:after="200" w:line="276" w:lineRule="auto"/>
        <w:ind w:firstLine="0"/>
        <w:jc w:val="center"/>
        <w:rPr>
          <w:rFonts w:ascii="Bookman Old Style" w:eastAsiaTheme="minorHAnsi" w:hAnsi="Bookman Old Style" w:cs="Calibri"/>
          <w:b/>
          <w:color w:val="000000" w:themeColor="text1"/>
          <w:sz w:val="23"/>
          <w:szCs w:val="23"/>
          <w:bdr w:val="none" w:sz="0" w:space="0" w:color="auto" w:frame="1"/>
          <w:lang w:bidi="ar-SA"/>
        </w:rPr>
      </w:pPr>
    </w:p>
    <w:p w14:paraId="63262FC1" w14:textId="30E77A53" w:rsidR="00C361DD" w:rsidRDefault="00997FE5" w:rsidP="00997FE5">
      <w:pPr>
        <w:ind w:firstLine="0"/>
        <w:jc w:val="both"/>
        <w:rPr>
          <w:rFonts w:ascii="Bookman Old Style" w:hAnsi="Bookman Old Style"/>
          <w:b/>
          <w:sz w:val="24"/>
          <w:szCs w:val="24"/>
        </w:rPr>
      </w:pPr>
      <w:r>
        <w:rPr>
          <w:rFonts w:ascii="Bookman Old Style" w:hAnsi="Bookman Old Style"/>
          <w:b/>
          <w:sz w:val="24"/>
          <w:szCs w:val="24"/>
        </w:rPr>
        <w:t>A.</w:t>
      </w:r>
      <w:r>
        <w:rPr>
          <w:rFonts w:ascii="Bookman Old Style" w:hAnsi="Bookman Old Style"/>
          <w:b/>
          <w:sz w:val="24"/>
          <w:szCs w:val="24"/>
        </w:rPr>
        <w:tab/>
      </w:r>
      <w:bookmarkStart w:id="0" w:name="_Hlk88543492"/>
      <w:r>
        <w:rPr>
          <w:rFonts w:ascii="Bookman Old Style" w:hAnsi="Bookman Old Style"/>
          <w:b/>
          <w:sz w:val="24"/>
          <w:szCs w:val="24"/>
          <w:u w:val="single"/>
        </w:rPr>
        <w:t>DOCUMENTO 1</w:t>
      </w:r>
      <w:r>
        <w:rPr>
          <w:rFonts w:ascii="Bookman Old Style" w:hAnsi="Bookman Old Style"/>
          <w:b/>
          <w:sz w:val="24"/>
          <w:szCs w:val="24"/>
        </w:rPr>
        <w:t xml:space="preserve"> </w:t>
      </w:r>
    </w:p>
    <w:p w14:paraId="6B893AAF" w14:textId="77777777" w:rsidR="00FA3462" w:rsidRPr="00B64FB9" w:rsidRDefault="00FA3462" w:rsidP="00997FE5">
      <w:pPr>
        <w:ind w:firstLine="0"/>
        <w:jc w:val="both"/>
        <w:rPr>
          <w:rFonts w:ascii="Bookman Old Style" w:eastAsia="Calibri" w:hAnsi="Bookman Old Style" w:cs="Arial"/>
          <w:b/>
          <w:sz w:val="24"/>
          <w:szCs w:val="24"/>
        </w:rPr>
      </w:pPr>
    </w:p>
    <w:p w14:paraId="3B4C7F38" w14:textId="39916550" w:rsidR="00DF3803" w:rsidRDefault="00DF3803" w:rsidP="00DF3803">
      <w:pPr>
        <w:ind w:left="720" w:firstLine="0"/>
        <w:jc w:val="both"/>
        <w:rPr>
          <w:rFonts w:ascii="Bookman Old Style" w:eastAsia="Calibri" w:hAnsi="Bookman Old Style" w:cs="Arial"/>
          <w:b/>
          <w:sz w:val="24"/>
          <w:szCs w:val="24"/>
        </w:rPr>
      </w:pPr>
      <w:bookmarkStart w:id="1" w:name="_Hlk117156786"/>
      <w:r>
        <w:rPr>
          <w:rFonts w:ascii="Bookman Old Style" w:hAnsi="Bookman Old Style"/>
          <w:b/>
          <w:sz w:val="24"/>
          <w:szCs w:val="24"/>
        </w:rPr>
        <w:t xml:space="preserve">DEMONSTRAÇÕES FINANCEIRAS AUDITADAS DO EXERCÍCIO FINDO EM 31 MARCO DE 2022 </w:t>
      </w:r>
    </w:p>
    <w:bookmarkEnd w:id="0"/>
    <w:bookmarkEnd w:id="1"/>
    <w:p w14:paraId="6CAD214F" w14:textId="77777777" w:rsidR="00990EBB" w:rsidRPr="00997FE5" w:rsidRDefault="00990EBB" w:rsidP="00997FE5">
      <w:pPr>
        <w:ind w:firstLine="0"/>
        <w:jc w:val="both"/>
        <w:rPr>
          <w:rFonts w:ascii="Bookman Old Style" w:eastAsia="Calibri" w:hAnsi="Bookman Old Style" w:cs="Arial"/>
          <w:b/>
          <w:sz w:val="24"/>
          <w:szCs w:val="24"/>
        </w:rPr>
      </w:pPr>
    </w:p>
    <w:p w14:paraId="15820E01" w14:textId="09F18C3D" w:rsidR="00731692" w:rsidRPr="00C361DD" w:rsidRDefault="00731692" w:rsidP="00731692">
      <w:pPr>
        <w:pStyle w:val="ListParagraph"/>
        <w:numPr>
          <w:ilvl w:val="0"/>
          <w:numId w:val="1"/>
        </w:numPr>
        <w:jc w:val="both"/>
        <w:rPr>
          <w:rFonts w:ascii="Bookman Old Style" w:eastAsia="Calibri" w:hAnsi="Bookman Old Style" w:cs="Arial"/>
          <w:bCs/>
          <w:sz w:val="24"/>
          <w:szCs w:val="24"/>
        </w:rPr>
      </w:pPr>
      <w:bookmarkStart w:id="2" w:name="_Hlk88339293"/>
      <w:bookmarkStart w:id="3" w:name="_Hlk54683914"/>
      <w:r>
        <w:rPr>
          <w:rFonts w:ascii="Bookman Old Style" w:hAnsi="Bookman Old Style"/>
          <w:bCs/>
          <w:sz w:val="24"/>
          <w:szCs w:val="24"/>
        </w:rPr>
        <w:t>Demonstrações financeiras auditadas do exercício findo em 31 Marco de 2022</w:t>
      </w:r>
    </w:p>
    <w:bookmarkEnd w:id="2"/>
    <w:p w14:paraId="28F1C205" w14:textId="48863832" w:rsidR="00B02629" w:rsidRPr="00C361DD" w:rsidRDefault="00B02629" w:rsidP="00B02629">
      <w:pPr>
        <w:pStyle w:val="ListParagraph"/>
        <w:numPr>
          <w:ilvl w:val="1"/>
          <w:numId w:val="1"/>
        </w:numPr>
        <w:jc w:val="both"/>
        <w:rPr>
          <w:rFonts w:ascii="Bookman Old Style" w:eastAsia="Calibri" w:hAnsi="Bookman Old Style" w:cs="Arial"/>
          <w:bCs/>
          <w:sz w:val="24"/>
          <w:szCs w:val="24"/>
        </w:rPr>
      </w:pPr>
      <w:r>
        <w:rPr>
          <w:rFonts w:ascii="Bookman Old Style" w:hAnsi="Bookman Old Style"/>
          <w:bCs/>
          <w:sz w:val="24"/>
          <w:szCs w:val="24"/>
        </w:rPr>
        <w:t xml:space="preserve">Responsabilidades da Comissão Executiva e </w:t>
      </w:r>
      <w:r w:rsidR="007B521E">
        <w:rPr>
          <w:rFonts w:ascii="Bookman Old Style" w:hAnsi="Bookman Old Style"/>
          <w:bCs/>
          <w:sz w:val="24"/>
          <w:szCs w:val="24"/>
        </w:rPr>
        <w:t>a</w:t>
      </w:r>
      <w:r>
        <w:rPr>
          <w:rFonts w:ascii="Bookman Old Style" w:hAnsi="Bookman Old Style"/>
          <w:bCs/>
          <w:sz w:val="24"/>
          <w:szCs w:val="24"/>
        </w:rPr>
        <w:t>provação</w:t>
      </w:r>
    </w:p>
    <w:p w14:paraId="198AC093" w14:textId="77777777" w:rsidR="00B02629" w:rsidRPr="00C361DD" w:rsidRDefault="00B02629" w:rsidP="00B02629">
      <w:pPr>
        <w:pStyle w:val="ListParagraph"/>
        <w:numPr>
          <w:ilvl w:val="1"/>
          <w:numId w:val="1"/>
        </w:numPr>
        <w:jc w:val="both"/>
        <w:rPr>
          <w:rFonts w:ascii="Bookman Old Style" w:eastAsia="Calibri" w:hAnsi="Bookman Old Style" w:cs="Arial"/>
          <w:bCs/>
          <w:sz w:val="24"/>
          <w:szCs w:val="24"/>
        </w:rPr>
      </w:pPr>
      <w:r>
        <w:rPr>
          <w:rFonts w:ascii="Bookman Old Style" w:hAnsi="Bookman Old Style"/>
          <w:bCs/>
          <w:sz w:val="24"/>
          <w:szCs w:val="24"/>
        </w:rPr>
        <w:t>Parecer de auditoria</w:t>
      </w:r>
    </w:p>
    <w:p w14:paraId="74D3C7B5" w14:textId="44F3624A" w:rsidR="00B02629" w:rsidRPr="00C361DD" w:rsidRDefault="00B02629" w:rsidP="00B02629">
      <w:pPr>
        <w:pStyle w:val="ListParagraph"/>
        <w:numPr>
          <w:ilvl w:val="1"/>
          <w:numId w:val="1"/>
        </w:numPr>
        <w:jc w:val="both"/>
        <w:rPr>
          <w:rFonts w:ascii="Bookman Old Style" w:eastAsia="Calibri" w:hAnsi="Bookman Old Style" w:cs="Arial"/>
          <w:bCs/>
          <w:sz w:val="24"/>
          <w:szCs w:val="24"/>
        </w:rPr>
      </w:pPr>
      <w:r>
        <w:rPr>
          <w:rFonts w:ascii="Bookman Old Style" w:hAnsi="Bookman Old Style"/>
          <w:bCs/>
          <w:sz w:val="24"/>
          <w:szCs w:val="24"/>
        </w:rPr>
        <w:t xml:space="preserve">Demonstração da posição financeira registada em 31 de </w:t>
      </w:r>
      <w:r w:rsidR="007B521E">
        <w:rPr>
          <w:rFonts w:ascii="Bookman Old Style" w:hAnsi="Bookman Old Style"/>
          <w:bCs/>
          <w:sz w:val="24"/>
          <w:szCs w:val="24"/>
        </w:rPr>
        <w:t>Março</w:t>
      </w:r>
      <w:r>
        <w:rPr>
          <w:rFonts w:ascii="Bookman Old Style" w:hAnsi="Bookman Old Style"/>
          <w:bCs/>
          <w:sz w:val="24"/>
          <w:szCs w:val="24"/>
        </w:rPr>
        <w:t xml:space="preserve"> de 2022</w:t>
      </w:r>
    </w:p>
    <w:p w14:paraId="09AF025C" w14:textId="1E03C741" w:rsidR="00B02629" w:rsidRPr="001335DA" w:rsidRDefault="00B02629" w:rsidP="00B02629">
      <w:pPr>
        <w:pStyle w:val="ListParagraph"/>
        <w:numPr>
          <w:ilvl w:val="1"/>
          <w:numId w:val="1"/>
        </w:numPr>
        <w:jc w:val="both"/>
        <w:rPr>
          <w:rFonts w:ascii="Bookman Old Style" w:eastAsia="Calibri" w:hAnsi="Bookman Old Style" w:cs="Arial"/>
          <w:bCs/>
          <w:sz w:val="24"/>
          <w:szCs w:val="24"/>
        </w:rPr>
      </w:pPr>
      <w:r>
        <w:rPr>
          <w:rFonts w:ascii="Bookman Old Style" w:hAnsi="Bookman Old Style"/>
          <w:bCs/>
          <w:sz w:val="24"/>
          <w:szCs w:val="24"/>
        </w:rPr>
        <w:t xml:space="preserve">Demonstração do desempenho financeiro referente ao exercício financeiro findo em 31 de Março de 2020 </w:t>
      </w:r>
    </w:p>
    <w:p w14:paraId="2ACB3086" w14:textId="77777777" w:rsidR="00731692" w:rsidRPr="001335DA" w:rsidRDefault="00731692" w:rsidP="00731692">
      <w:pPr>
        <w:ind w:firstLine="0"/>
        <w:jc w:val="both"/>
        <w:rPr>
          <w:rFonts w:ascii="Bookman Old Style" w:eastAsia="Calibri" w:hAnsi="Bookman Old Style" w:cs="Arial"/>
          <w:bCs/>
          <w:sz w:val="24"/>
          <w:szCs w:val="24"/>
        </w:rPr>
      </w:pPr>
    </w:p>
    <w:p w14:paraId="027AD7F9" w14:textId="1CD31CD7" w:rsidR="00016288" w:rsidRPr="001335DA" w:rsidRDefault="00016288" w:rsidP="00F6768F">
      <w:pPr>
        <w:pStyle w:val="ListParagraph"/>
        <w:numPr>
          <w:ilvl w:val="0"/>
          <w:numId w:val="1"/>
        </w:numPr>
        <w:jc w:val="both"/>
        <w:rPr>
          <w:rFonts w:ascii="Bookman Old Style" w:eastAsia="Calibri" w:hAnsi="Bookman Old Style" w:cs="Arial"/>
          <w:bCs/>
          <w:sz w:val="24"/>
          <w:szCs w:val="24"/>
        </w:rPr>
      </w:pPr>
      <w:bookmarkStart w:id="4" w:name="_Hlk70591183"/>
      <w:bookmarkStart w:id="5" w:name="_Hlk54280891"/>
      <w:bookmarkStart w:id="6" w:name="_Hlk70321262"/>
      <w:r>
        <w:rPr>
          <w:rFonts w:ascii="Bookman Old Style" w:hAnsi="Bookman Old Style"/>
          <w:bCs/>
          <w:sz w:val="24"/>
          <w:szCs w:val="24"/>
        </w:rPr>
        <w:t xml:space="preserve">Proposta de descontinuação da </w:t>
      </w:r>
      <w:r w:rsidR="007B521E">
        <w:rPr>
          <w:rFonts w:ascii="Bookman Old Style" w:hAnsi="Bookman Old Style"/>
          <w:bCs/>
          <w:sz w:val="24"/>
          <w:szCs w:val="24"/>
        </w:rPr>
        <w:t>compila</w:t>
      </w:r>
      <w:r>
        <w:rPr>
          <w:rFonts w:ascii="Bookman Old Style" w:hAnsi="Bookman Old Style"/>
          <w:bCs/>
          <w:sz w:val="24"/>
          <w:szCs w:val="24"/>
        </w:rPr>
        <w:t xml:space="preserve">ção das principais demonstrações financeiras do FP-SADC </w:t>
      </w:r>
      <w:r w:rsidR="007B521E">
        <w:rPr>
          <w:rFonts w:ascii="Bookman Old Style" w:hAnsi="Bookman Old Style"/>
          <w:bCs/>
          <w:sz w:val="24"/>
          <w:szCs w:val="24"/>
        </w:rPr>
        <w:t xml:space="preserve">juntamente </w:t>
      </w:r>
      <w:r>
        <w:rPr>
          <w:rFonts w:ascii="Bookman Old Style" w:hAnsi="Bookman Old Style"/>
          <w:bCs/>
          <w:sz w:val="24"/>
          <w:szCs w:val="24"/>
        </w:rPr>
        <w:t>com as demonstrações financeiras dos fundos concedidos por doadores</w:t>
      </w:r>
    </w:p>
    <w:p w14:paraId="4221FA5D" w14:textId="6B2B51FF" w:rsidR="00F6768F" w:rsidRPr="00DB6664" w:rsidRDefault="00F6768F" w:rsidP="001335DA">
      <w:pPr>
        <w:pStyle w:val="ListParagraph"/>
        <w:ind w:firstLine="0"/>
        <w:jc w:val="both"/>
        <w:rPr>
          <w:rFonts w:ascii="Bookman Old Style" w:eastAsia="Calibri" w:hAnsi="Bookman Old Style" w:cs="Arial"/>
          <w:bCs/>
          <w:color w:val="FF0000"/>
          <w:sz w:val="24"/>
          <w:szCs w:val="24"/>
        </w:rPr>
      </w:pPr>
    </w:p>
    <w:p w14:paraId="01CCF567" w14:textId="77777777" w:rsidR="00BE6D87" w:rsidRPr="00DB6664" w:rsidRDefault="00BE6D87" w:rsidP="00BE6D87">
      <w:pPr>
        <w:pStyle w:val="ListParagraph"/>
        <w:rPr>
          <w:rFonts w:ascii="Bookman Old Style" w:eastAsia="Calibri" w:hAnsi="Bookman Old Style" w:cs="Arial"/>
          <w:bCs/>
          <w:color w:val="FF0000"/>
          <w:sz w:val="24"/>
          <w:szCs w:val="24"/>
        </w:rPr>
      </w:pPr>
    </w:p>
    <w:bookmarkEnd w:id="3"/>
    <w:bookmarkEnd w:id="4"/>
    <w:bookmarkEnd w:id="5"/>
    <w:bookmarkEnd w:id="6"/>
    <w:p w14:paraId="1554D478" w14:textId="77777777" w:rsidR="00874E2E" w:rsidRDefault="00874E2E" w:rsidP="00EF0224">
      <w:pPr>
        <w:ind w:firstLine="0"/>
        <w:jc w:val="both"/>
        <w:rPr>
          <w:rFonts w:ascii="Bookman Old Style" w:eastAsia="Calibri" w:hAnsi="Bookman Old Style" w:cs="Arial"/>
          <w:b/>
          <w:sz w:val="24"/>
          <w:szCs w:val="24"/>
        </w:rPr>
      </w:pPr>
    </w:p>
    <w:p w14:paraId="129D8510" w14:textId="77777777" w:rsidR="00874E2E" w:rsidRDefault="00874E2E" w:rsidP="00EF0224">
      <w:pPr>
        <w:ind w:firstLine="0"/>
        <w:jc w:val="both"/>
        <w:rPr>
          <w:rFonts w:ascii="Bookman Old Style" w:eastAsia="Calibri" w:hAnsi="Bookman Old Style" w:cs="Arial"/>
          <w:b/>
          <w:sz w:val="24"/>
          <w:szCs w:val="24"/>
        </w:rPr>
      </w:pPr>
    </w:p>
    <w:p w14:paraId="52E316A3" w14:textId="77777777" w:rsidR="00874E2E" w:rsidRDefault="00874E2E" w:rsidP="00EF0224">
      <w:pPr>
        <w:ind w:firstLine="0"/>
        <w:jc w:val="both"/>
        <w:rPr>
          <w:rFonts w:ascii="Bookman Old Style" w:eastAsia="Calibri" w:hAnsi="Bookman Old Style" w:cs="Arial"/>
          <w:b/>
          <w:sz w:val="24"/>
          <w:szCs w:val="24"/>
        </w:rPr>
      </w:pPr>
    </w:p>
    <w:p w14:paraId="283D5E46" w14:textId="77777777" w:rsidR="00874E2E" w:rsidRDefault="00874E2E" w:rsidP="00EF0224">
      <w:pPr>
        <w:ind w:firstLine="0"/>
        <w:jc w:val="both"/>
        <w:rPr>
          <w:rFonts w:ascii="Bookman Old Style" w:eastAsia="Calibri" w:hAnsi="Bookman Old Style" w:cs="Arial"/>
          <w:b/>
          <w:sz w:val="24"/>
          <w:szCs w:val="24"/>
        </w:rPr>
      </w:pPr>
    </w:p>
    <w:p w14:paraId="0A3C420B" w14:textId="41DC2E5B" w:rsidR="006411A0" w:rsidRPr="00EF0224" w:rsidRDefault="006411A0" w:rsidP="00EF0224">
      <w:pPr>
        <w:pStyle w:val="ListParagraph"/>
        <w:numPr>
          <w:ilvl w:val="0"/>
          <w:numId w:val="33"/>
        </w:numPr>
        <w:rPr>
          <w:rFonts w:ascii="Bookman Old Style" w:eastAsia="Calibri" w:hAnsi="Bookman Old Style" w:cs="Arial"/>
          <w:b/>
          <w:sz w:val="24"/>
          <w:szCs w:val="24"/>
        </w:rPr>
      </w:pPr>
      <w:r>
        <w:rPr>
          <w:rFonts w:ascii="Bookman Old Style" w:hAnsi="Bookman Old Style"/>
          <w:b/>
          <w:sz w:val="24"/>
          <w:szCs w:val="24"/>
        </w:rPr>
        <w:lastRenderedPageBreak/>
        <w:t>DEMONSTRAÇÕES FINANCEIRAS AUDITADAS DO EXERCÍCIO FINDO EM 31 MARCO DE 2022</w:t>
      </w:r>
    </w:p>
    <w:p w14:paraId="38089CF7" w14:textId="5881D677" w:rsidR="00E9732A" w:rsidRPr="00C361DD" w:rsidRDefault="00FC503C" w:rsidP="00C92533">
      <w:pPr>
        <w:ind w:firstLine="720"/>
        <w:jc w:val="both"/>
        <w:rPr>
          <w:rFonts w:ascii="Bookman Old Style" w:eastAsia="Calibri" w:hAnsi="Bookman Old Style" w:cs="Arial"/>
          <w:bCs/>
          <w:i/>
          <w:iCs/>
          <w:color w:val="FF0000"/>
          <w:sz w:val="24"/>
          <w:szCs w:val="24"/>
        </w:rPr>
      </w:pPr>
      <w:bookmarkStart w:id="7" w:name="_Hlk85140573"/>
      <w:r>
        <w:rPr>
          <w:rFonts w:ascii="Bookman Old Style" w:hAnsi="Bookman Old Style"/>
          <w:bCs/>
          <w:i/>
          <w:iCs/>
          <w:sz w:val="24"/>
          <w:szCs w:val="24"/>
        </w:rPr>
        <w:t xml:space="preserve">As demonstrações financeiras auditadas </w:t>
      </w:r>
      <w:r w:rsidR="007B521E">
        <w:rPr>
          <w:rFonts w:ascii="Bookman Old Style" w:hAnsi="Bookman Old Style"/>
          <w:bCs/>
          <w:i/>
          <w:iCs/>
          <w:sz w:val="24"/>
          <w:szCs w:val="24"/>
        </w:rPr>
        <w:t>são apresentadas d</w:t>
      </w:r>
      <w:r>
        <w:rPr>
          <w:rFonts w:ascii="Bookman Old Style" w:hAnsi="Bookman Old Style"/>
          <w:bCs/>
          <w:i/>
          <w:iCs/>
          <w:sz w:val="24"/>
          <w:szCs w:val="24"/>
        </w:rPr>
        <w:t xml:space="preserve">o </w:t>
      </w:r>
      <w:r>
        <w:rPr>
          <w:rFonts w:ascii="Bookman Old Style" w:hAnsi="Bookman Old Style"/>
          <w:bCs/>
          <w:i/>
          <w:iCs/>
          <w:color w:val="FF0000"/>
          <w:sz w:val="24"/>
          <w:szCs w:val="24"/>
        </w:rPr>
        <w:t>Anexo 1.</w:t>
      </w:r>
    </w:p>
    <w:bookmarkEnd w:id="7"/>
    <w:p w14:paraId="7D0978B5" w14:textId="77777777" w:rsidR="00E9732A" w:rsidRPr="00C361DD" w:rsidRDefault="00E9732A" w:rsidP="00D51038">
      <w:pPr>
        <w:jc w:val="both"/>
        <w:rPr>
          <w:rFonts w:ascii="Bookman Old Style" w:eastAsia="Calibri" w:hAnsi="Bookman Old Style" w:cs="Arial"/>
          <w:bCs/>
          <w:sz w:val="24"/>
          <w:szCs w:val="24"/>
        </w:rPr>
      </w:pPr>
    </w:p>
    <w:p w14:paraId="524E2720" w14:textId="0A820AA6" w:rsidR="005D55C2" w:rsidRDefault="00C92533" w:rsidP="00C92533">
      <w:pPr>
        <w:ind w:firstLine="0"/>
        <w:jc w:val="both"/>
        <w:rPr>
          <w:rFonts w:ascii="Bookman Old Style" w:eastAsia="Calibri" w:hAnsi="Bookman Old Style" w:cs="Arial"/>
          <w:b/>
          <w:sz w:val="24"/>
          <w:szCs w:val="24"/>
        </w:rPr>
      </w:pPr>
      <w:r>
        <w:rPr>
          <w:rFonts w:ascii="Bookman Old Style" w:hAnsi="Bookman Old Style"/>
          <w:b/>
          <w:sz w:val="24"/>
          <w:szCs w:val="24"/>
        </w:rPr>
        <w:t>1.1.</w:t>
      </w:r>
      <w:r>
        <w:rPr>
          <w:rFonts w:ascii="Bookman Old Style" w:hAnsi="Bookman Old Style"/>
          <w:b/>
          <w:sz w:val="24"/>
          <w:szCs w:val="24"/>
        </w:rPr>
        <w:tab/>
      </w:r>
      <w:bookmarkStart w:id="8" w:name="_Hlk85037462"/>
      <w:r>
        <w:rPr>
          <w:rFonts w:ascii="Bookman Old Style" w:hAnsi="Bookman Old Style"/>
          <w:b/>
          <w:sz w:val="24"/>
          <w:szCs w:val="24"/>
        </w:rPr>
        <w:t xml:space="preserve">Responsabilidades da Comissão Executiva e </w:t>
      </w:r>
      <w:r w:rsidR="007B521E">
        <w:rPr>
          <w:rFonts w:ascii="Bookman Old Style" w:hAnsi="Bookman Old Style"/>
          <w:b/>
          <w:sz w:val="24"/>
          <w:szCs w:val="24"/>
        </w:rPr>
        <w:t>a</w:t>
      </w:r>
      <w:r>
        <w:rPr>
          <w:rFonts w:ascii="Bookman Old Style" w:hAnsi="Bookman Old Style"/>
          <w:b/>
          <w:sz w:val="24"/>
          <w:szCs w:val="24"/>
        </w:rPr>
        <w:t>provação</w:t>
      </w:r>
      <w:bookmarkEnd w:id="8"/>
    </w:p>
    <w:p w14:paraId="6025B6EF" w14:textId="77777777" w:rsidR="00874E2E" w:rsidRPr="00C361DD" w:rsidRDefault="00874E2E" w:rsidP="00C92533">
      <w:pPr>
        <w:ind w:firstLine="0"/>
        <w:jc w:val="both"/>
        <w:rPr>
          <w:rFonts w:ascii="Bookman Old Style" w:eastAsia="Calibri" w:hAnsi="Bookman Old Style" w:cs="Arial"/>
          <w:b/>
          <w:sz w:val="24"/>
          <w:szCs w:val="24"/>
        </w:rPr>
      </w:pPr>
    </w:p>
    <w:p w14:paraId="0E58D681" w14:textId="5CCCCB65" w:rsidR="003D02B5" w:rsidRPr="00C361DD" w:rsidRDefault="005D55C2" w:rsidP="00862C1D">
      <w:pPr>
        <w:pStyle w:val="ListParagraph"/>
        <w:numPr>
          <w:ilvl w:val="2"/>
          <w:numId w:val="12"/>
        </w:numPr>
        <w:ind w:left="709" w:hanging="709"/>
        <w:jc w:val="both"/>
        <w:rPr>
          <w:rFonts w:ascii="Bookman Old Style" w:eastAsia="Calibri" w:hAnsi="Bookman Old Style" w:cs="Arial"/>
          <w:bCs/>
          <w:sz w:val="24"/>
          <w:szCs w:val="24"/>
        </w:rPr>
      </w:pPr>
      <w:r>
        <w:rPr>
          <w:rFonts w:ascii="Bookman Old Style" w:hAnsi="Bookman Old Style"/>
          <w:bCs/>
          <w:sz w:val="24"/>
          <w:szCs w:val="24"/>
        </w:rPr>
        <w:t xml:space="preserve">As responsabilidades da Comissão Executiva e o requisito da aprovação são apresentados em detalhe nas demonstrações financeiras auditadas (DFA). Tendo confirmado e assumido as suas responsabilidades, a Comissão Executiva deverá aprovar as DFA, que deverão ser assinadas em seu nome pelo Tesoureiro e </w:t>
      </w:r>
      <w:r w:rsidR="007B521E">
        <w:rPr>
          <w:rFonts w:ascii="Bookman Old Style" w:hAnsi="Bookman Old Style"/>
          <w:bCs/>
          <w:sz w:val="24"/>
          <w:szCs w:val="24"/>
        </w:rPr>
        <w:t>pel</w:t>
      </w:r>
      <w:r>
        <w:rPr>
          <w:rFonts w:ascii="Bookman Old Style" w:hAnsi="Bookman Old Style"/>
          <w:bCs/>
          <w:sz w:val="24"/>
          <w:szCs w:val="24"/>
        </w:rPr>
        <w:t xml:space="preserve">o Presidente do Fórum. </w:t>
      </w:r>
    </w:p>
    <w:p w14:paraId="68F6A339" w14:textId="77777777" w:rsidR="007127BE" w:rsidRPr="00C361DD" w:rsidRDefault="007127BE" w:rsidP="00862C1D">
      <w:pPr>
        <w:pStyle w:val="Heading2"/>
        <w:tabs>
          <w:tab w:val="left" w:pos="569"/>
          <w:tab w:val="left" w:pos="570"/>
        </w:tabs>
        <w:ind w:left="709" w:hanging="709"/>
      </w:pPr>
    </w:p>
    <w:p w14:paraId="53F74F24" w14:textId="593C7BC2" w:rsidR="001B3BF0" w:rsidRPr="00C361DD" w:rsidRDefault="00926CEC" w:rsidP="00862C1D">
      <w:pPr>
        <w:pStyle w:val="Heading2"/>
        <w:numPr>
          <w:ilvl w:val="2"/>
          <w:numId w:val="12"/>
        </w:numPr>
        <w:tabs>
          <w:tab w:val="left" w:pos="569"/>
          <w:tab w:val="left" w:pos="570"/>
        </w:tabs>
        <w:ind w:left="709" w:hanging="709"/>
        <w:rPr>
          <w:rFonts w:ascii="Bookman Old Style" w:hAnsi="Bookman Old Style"/>
          <w:b w:val="0"/>
          <w:bCs w:val="0"/>
          <w:sz w:val="24"/>
          <w:szCs w:val="24"/>
        </w:rPr>
      </w:pPr>
      <w:r>
        <w:rPr>
          <w:rFonts w:ascii="Bookman Old Style" w:hAnsi="Bookman Old Style"/>
          <w:b w:val="0"/>
          <w:bCs w:val="0"/>
          <w:sz w:val="24"/>
          <w:szCs w:val="24"/>
        </w:rPr>
        <w:t>Ao aprovar as DFA, a Comissão Executiva deverá confirmar os seguintes elementos:</w:t>
      </w:r>
    </w:p>
    <w:p w14:paraId="4314A9F7" w14:textId="77777777" w:rsidR="00260BD9" w:rsidRPr="00C361DD" w:rsidRDefault="00260BD9" w:rsidP="00260BD9">
      <w:pPr>
        <w:pStyle w:val="Heading2"/>
        <w:tabs>
          <w:tab w:val="left" w:pos="569"/>
          <w:tab w:val="left" w:pos="570"/>
        </w:tabs>
        <w:ind w:left="569"/>
      </w:pPr>
    </w:p>
    <w:p w14:paraId="0A0E30CA" w14:textId="190AEC64" w:rsidR="00926CEC" w:rsidRDefault="00926CEC" w:rsidP="00862C1D">
      <w:pPr>
        <w:pStyle w:val="Heading2"/>
        <w:numPr>
          <w:ilvl w:val="0"/>
          <w:numId w:val="13"/>
        </w:numPr>
        <w:tabs>
          <w:tab w:val="left" w:pos="569"/>
          <w:tab w:val="left" w:pos="570"/>
        </w:tabs>
        <w:ind w:left="993" w:hanging="284"/>
        <w:jc w:val="both"/>
        <w:rPr>
          <w:rFonts w:ascii="Bookman Old Style" w:hAnsi="Bookman Old Style"/>
          <w:sz w:val="24"/>
          <w:szCs w:val="24"/>
        </w:rPr>
      </w:pPr>
      <w:r>
        <w:rPr>
          <w:rFonts w:ascii="Bookman Old Style" w:hAnsi="Bookman Old Style"/>
          <w:sz w:val="24"/>
          <w:szCs w:val="24"/>
        </w:rPr>
        <w:t>Natureza das actividades</w:t>
      </w:r>
    </w:p>
    <w:p w14:paraId="07FDEE3F" w14:textId="77777777" w:rsidR="00862C1D" w:rsidRPr="00874E2E" w:rsidRDefault="00862C1D" w:rsidP="00862C1D">
      <w:pPr>
        <w:pStyle w:val="Heading2"/>
        <w:tabs>
          <w:tab w:val="left" w:pos="569"/>
          <w:tab w:val="left" w:pos="570"/>
        </w:tabs>
        <w:ind w:left="993"/>
        <w:jc w:val="both"/>
        <w:rPr>
          <w:rFonts w:ascii="Bookman Old Style" w:hAnsi="Bookman Old Style"/>
          <w:sz w:val="24"/>
          <w:szCs w:val="24"/>
        </w:rPr>
      </w:pPr>
    </w:p>
    <w:p w14:paraId="2EB0C513" w14:textId="7E982344" w:rsidR="00FE20E8" w:rsidRPr="00C361DD" w:rsidRDefault="00926CEC" w:rsidP="00862C1D">
      <w:pPr>
        <w:pStyle w:val="BodyText"/>
        <w:ind w:left="993" w:right="-46"/>
        <w:jc w:val="both"/>
        <w:rPr>
          <w:rFonts w:ascii="Bookman Old Style" w:hAnsi="Bookman Old Style"/>
          <w:sz w:val="24"/>
          <w:szCs w:val="24"/>
        </w:rPr>
      </w:pPr>
      <w:r>
        <w:rPr>
          <w:rFonts w:ascii="Bookman Old Style" w:hAnsi="Bookman Old Style"/>
          <w:sz w:val="24"/>
          <w:szCs w:val="24"/>
        </w:rPr>
        <w:t xml:space="preserve">O Fórum foi criado com a finalidade de reforçar a capacidade da Comunidade de Desenvolvimento da África Austral (SADC) através do envolvimento dos parlamentares dos Estados membros da SADC em actividades que possam contribuir para o bem-estar da SADC. </w:t>
      </w:r>
    </w:p>
    <w:p w14:paraId="65882F9B" w14:textId="77777777" w:rsidR="00FE20E8" w:rsidRPr="00C361DD" w:rsidRDefault="00FE20E8" w:rsidP="00862C1D">
      <w:pPr>
        <w:pStyle w:val="BodyText"/>
        <w:ind w:left="993" w:right="-46" w:hanging="284"/>
        <w:jc w:val="both"/>
        <w:rPr>
          <w:rFonts w:ascii="Bookman Old Style" w:hAnsi="Bookman Old Style"/>
          <w:sz w:val="24"/>
          <w:szCs w:val="24"/>
        </w:rPr>
      </w:pPr>
    </w:p>
    <w:p w14:paraId="006193C8" w14:textId="4E852924" w:rsidR="00FE20E8" w:rsidRPr="00C361DD" w:rsidRDefault="00926CEC" w:rsidP="00862C1D">
      <w:pPr>
        <w:pStyle w:val="BodyText"/>
        <w:ind w:left="993" w:right="-46"/>
        <w:jc w:val="both"/>
        <w:rPr>
          <w:rFonts w:ascii="Bookman Old Style" w:hAnsi="Bookman Old Style"/>
          <w:sz w:val="24"/>
          <w:szCs w:val="24"/>
        </w:rPr>
      </w:pPr>
      <w:r>
        <w:rPr>
          <w:rFonts w:ascii="Bookman Old Style" w:hAnsi="Bookman Old Style"/>
          <w:sz w:val="24"/>
          <w:szCs w:val="24"/>
        </w:rPr>
        <w:t>Não houve mudanças materiais à natureza das actividades do Fórum relativamente ao ano anterior.</w:t>
      </w:r>
    </w:p>
    <w:p w14:paraId="52495082" w14:textId="77777777" w:rsidR="00FE20E8" w:rsidRPr="00C361DD" w:rsidRDefault="00FE20E8" w:rsidP="00862C1D">
      <w:pPr>
        <w:pStyle w:val="BodyText"/>
        <w:ind w:left="993" w:right="564" w:hanging="284"/>
        <w:jc w:val="both"/>
        <w:rPr>
          <w:rFonts w:ascii="Bookman Old Style" w:hAnsi="Bookman Old Style"/>
          <w:sz w:val="24"/>
          <w:szCs w:val="24"/>
        </w:rPr>
      </w:pPr>
    </w:p>
    <w:p w14:paraId="61A78481" w14:textId="5227FB36" w:rsidR="00926CEC" w:rsidRDefault="00926CEC" w:rsidP="00862C1D">
      <w:pPr>
        <w:pStyle w:val="BodyText"/>
        <w:numPr>
          <w:ilvl w:val="0"/>
          <w:numId w:val="13"/>
        </w:numPr>
        <w:ind w:left="993" w:right="564" w:hanging="284"/>
        <w:jc w:val="both"/>
        <w:rPr>
          <w:rFonts w:ascii="Bookman Old Style" w:hAnsi="Bookman Old Style"/>
          <w:b/>
          <w:bCs/>
          <w:sz w:val="24"/>
          <w:szCs w:val="24"/>
        </w:rPr>
      </w:pPr>
      <w:r>
        <w:rPr>
          <w:rFonts w:ascii="Bookman Old Style" w:hAnsi="Bookman Old Style"/>
          <w:b/>
          <w:bCs/>
          <w:sz w:val="24"/>
          <w:szCs w:val="24"/>
        </w:rPr>
        <w:t>Apreciação dos resultados financeiros e das actividades</w:t>
      </w:r>
    </w:p>
    <w:p w14:paraId="0ED29998" w14:textId="77777777" w:rsidR="00862C1D" w:rsidRPr="00874E2E" w:rsidRDefault="00862C1D" w:rsidP="00862C1D">
      <w:pPr>
        <w:pStyle w:val="BodyText"/>
        <w:ind w:left="993" w:right="564"/>
        <w:jc w:val="both"/>
        <w:rPr>
          <w:rFonts w:ascii="Bookman Old Style" w:hAnsi="Bookman Old Style"/>
          <w:b/>
          <w:bCs/>
          <w:sz w:val="24"/>
          <w:szCs w:val="24"/>
        </w:rPr>
      </w:pPr>
    </w:p>
    <w:p w14:paraId="72933A74" w14:textId="77777777" w:rsidR="00926CEC" w:rsidRPr="00C361DD" w:rsidRDefault="00926CEC" w:rsidP="00862C1D">
      <w:pPr>
        <w:pStyle w:val="BodyText"/>
        <w:ind w:left="993"/>
        <w:jc w:val="both"/>
        <w:rPr>
          <w:rFonts w:ascii="Bookman Old Style" w:hAnsi="Bookman Old Style"/>
          <w:sz w:val="24"/>
          <w:szCs w:val="24"/>
        </w:rPr>
      </w:pPr>
      <w:r>
        <w:rPr>
          <w:rFonts w:ascii="Bookman Old Style" w:hAnsi="Bookman Old Style"/>
          <w:sz w:val="24"/>
          <w:szCs w:val="24"/>
        </w:rPr>
        <w:t>As demonstrações financeiras anuais foram elaboradas segundo as Normas Internacionais de Relatos Financeiros e os requisitos da Constituição do Fórum. As normas contabilísticas foram aplicadas de forma consistente.</w:t>
      </w:r>
    </w:p>
    <w:p w14:paraId="15365C12" w14:textId="77777777" w:rsidR="00926CEC" w:rsidRPr="00C361DD" w:rsidRDefault="00926CEC" w:rsidP="00862C1D">
      <w:pPr>
        <w:pStyle w:val="BodyText"/>
        <w:spacing w:before="8"/>
        <w:ind w:left="993" w:hanging="284"/>
        <w:jc w:val="both"/>
        <w:rPr>
          <w:rFonts w:ascii="Bookman Old Style" w:hAnsi="Bookman Old Style"/>
          <w:sz w:val="24"/>
          <w:szCs w:val="24"/>
        </w:rPr>
      </w:pPr>
    </w:p>
    <w:p w14:paraId="6176CF9E" w14:textId="77777777" w:rsidR="00926CEC" w:rsidRPr="00C361DD" w:rsidRDefault="00926CEC" w:rsidP="00862C1D">
      <w:pPr>
        <w:pStyle w:val="BodyText"/>
        <w:ind w:left="993" w:right="818"/>
        <w:jc w:val="both"/>
        <w:rPr>
          <w:rFonts w:ascii="Bookman Old Style" w:hAnsi="Bookman Old Style"/>
          <w:sz w:val="24"/>
          <w:szCs w:val="24"/>
        </w:rPr>
      </w:pPr>
      <w:r>
        <w:rPr>
          <w:rFonts w:ascii="Bookman Old Style" w:hAnsi="Bookman Old Style"/>
          <w:sz w:val="24"/>
          <w:szCs w:val="24"/>
        </w:rPr>
        <w:t>Os detalhes completos da situação financeira, os resultados das operações e dos fluxos de caixa do Fórum são apresentados nas presentes demonstrações financeiras anuais.</w:t>
      </w:r>
    </w:p>
    <w:p w14:paraId="2607B944" w14:textId="1B1698D7" w:rsidR="00926CEC" w:rsidRPr="00C361DD" w:rsidRDefault="00926CEC" w:rsidP="00862C1D">
      <w:pPr>
        <w:pStyle w:val="BodyText"/>
        <w:spacing w:before="7"/>
        <w:ind w:left="993" w:hanging="284"/>
        <w:jc w:val="both"/>
        <w:rPr>
          <w:rFonts w:ascii="Bookman Old Style" w:hAnsi="Bookman Old Style"/>
          <w:sz w:val="24"/>
          <w:szCs w:val="24"/>
        </w:rPr>
      </w:pPr>
    </w:p>
    <w:p w14:paraId="71546F30" w14:textId="70AC79B3" w:rsidR="00926CEC" w:rsidRPr="00862C1D" w:rsidRDefault="00926CEC" w:rsidP="00862C1D">
      <w:pPr>
        <w:pStyle w:val="Heading2"/>
        <w:numPr>
          <w:ilvl w:val="0"/>
          <w:numId w:val="13"/>
        </w:numPr>
        <w:tabs>
          <w:tab w:val="left" w:pos="569"/>
          <w:tab w:val="left" w:pos="570"/>
        </w:tabs>
        <w:ind w:left="1134" w:hanging="425"/>
        <w:jc w:val="both"/>
        <w:rPr>
          <w:rFonts w:ascii="Bookman Old Style" w:hAnsi="Bookman Old Style"/>
          <w:sz w:val="24"/>
          <w:szCs w:val="24"/>
        </w:rPr>
      </w:pPr>
      <w:r>
        <w:rPr>
          <w:rFonts w:ascii="Bookman Old Style" w:hAnsi="Bookman Old Style"/>
          <w:sz w:val="24"/>
          <w:szCs w:val="24"/>
        </w:rPr>
        <w:t>Activos Fixos Tangíveis</w:t>
      </w:r>
      <w:r>
        <w:rPr>
          <w:rFonts w:ascii="Bookman Old Style" w:hAnsi="Bookman Old Style"/>
          <w:color w:val="FF0000"/>
          <w:sz w:val="24"/>
          <w:szCs w:val="24"/>
        </w:rPr>
        <w:t xml:space="preserve"> </w:t>
      </w:r>
    </w:p>
    <w:p w14:paraId="035B8FF9" w14:textId="77777777" w:rsidR="00862C1D" w:rsidRPr="00874E2E" w:rsidRDefault="00862C1D" w:rsidP="00862C1D">
      <w:pPr>
        <w:pStyle w:val="Heading2"/>
        <w:tabs>
          <w:tab w:val="left" w:pos="569"/>
          <w:tab w:val="left" w:pos="570"/>
        </w:tabs>
        <w:ind w:left="1134"/>
        <w:jc w:val="both"/>
        <w:rPr>
          <w:rFonts w:ascii="Bookman Old Style" w:hAnsi="Bookman Old Style"/>
          <w:sz w:val="24"/>
          <w:szCs w:val="24"/>
        </w:rPr>
      </w:pPr>
    </w:p>
    <w:p w14:paraId="4F3A7428" w14:textId="22ABA85F" w:rsidR="00926CEC" w:rsidRPr="00C361DD" w:rsidRDefault="00926CEC" w:rsidP="00862C1D">
      <w:pPr>
        <w:pStyle w:val="BodyText"/>
        <w:ind w:left="1134"/>
        <w:jc w:val="both"/>
        <w:rPr>
          <w:rFonts w:ascii="Bookman Old Style" w:hAnsi="Bookman Old Style"/>
          <w:sz w:val="24"/>
          <w:szCs w:val="24"/>
        </w:rPr>
      </w:pPr>
      <w:r>
        <w:rPr>
          <w:rFonts w:ascii="Bookman Old Style" w:hAnsi="Bookman Old Style"/>
          <w:sz w:val="24"/>
          <w:szCs w:val="24"/>
        </w:rPr>
        <w:t>Não houve mudança na natureza do activo imobilizado do Fórum ou na norma relativa ao seu uso.</w:t>
      </w:r>
    </w:p>
    <w:p w14:paraId="1086F5C8" w14:textId="77777777" w:rsidR="00926CEC" w:rsidRPr="00D03D8A" w:rsidRDefault="00926CEC" w:rsidP="00862C1D">
      <w:pPr>
        <w:pStyle w:val="BodyText"/>
        <w:spacing w:before="8"/>
        <w:ind w:left="993" w:hanging="284"/>
        <w:jc w:val="both"/>
        <w:rPr>
          <w:rFonts w:ascii="Bookman Old Style" w:hAnsi="Bookman Old Style"/>
          <w:sz w:val="16"/>
          <w:szCs w:val="16"/>
        </w:rPr>
      </w:pPr>
    </w:p>
    <w:p w14:paraId="5F81B0A0" w14:textId="77777777" w:rsidR="00862C1D" w:rsidRDefault="00926CEC" w:rsidP="00862C1D">
      <w:pPr>
        <w:pStyle w:val="BodyText"/>
        <w:ind w:left="1134" w:right="-46"/>
        <w:jc w:val="both"/>
        <w:rPr>
          <w:rFonts w:ascii="Bookman Old Style" w:hAnsi="Bookman Old Style"/>
          <w:sz w:val="24"/>
          <w:szCs w:val="24"/>
        </w:rPr>
      </w:pPr>
      <w:r>
        <w:rPr>
          <w:rFonts w:ascii="Bookman Old Style" w:hAnsi="Bookman Old Style"/>
          <w:sz w:val="24"/>
          <w:szCs w:val="24"/>
        </w:rPr>
        <w:t>No dia 31 de Março de 2022, o investimento no activo imobilizado do Fórum totalizava N$ 9</w:t>
      </w:r>
      <w:r w:rsidR="007B521E">
        <w:rPr>
          <w:rFonts w:ascii="Bookman Old Style" w:hAnsi="Bookman Old Style"/>
          <w:sz w:val="24"/>
          <w:szCs w:val="24"/>
        </w:rPr>
        <w:t>.</w:t>
      </w:r>
      <w:r>
        <w:rPr>
          <w:rFonts w:ascii="Bookman Old Style" w:hAnsi="Bookman Old Style"/>
          <w:sz w:val="24"/>
          <w:szCs w:val="24"/>
        </w:rPr>
        <w:t>562</w:t>
      </w:r>
      <w:r w:rsidR="007B521E">
        <w:rPr>
          <w:rFonts w:ascii="Bookman Old Style" w:hAnsi="Bookman Old Style"/>
          <w:sz w:val="24"/>
          <w:szCs w:val="24"/>
        </w:rPr>
        <w:t>.</w:t>
      </w:r>
      <w:r>
        <w:rPr>
          <w:rFonts w:ascii="Bookman Old Style" w:hAnsi="Bookman Old Style"/>
          <w:sz w:val="24"/>
          <w:szCs w:val="24"/>
        </w:rPr>
        <w:t>385 (2020: N$8</w:t>
      </w:r>
      <w:r w:rsidR="007B521E">
        <w:rPr>
          <w:rFonts w:ascii="Bookman Old Style" w:hAnsi="Bookman Old Style"/>
          <w:sz w:val="24"/>
          <w:szCs w:val="24"/>
        </w:rPr>
        <w:t>.</w:t>
      </w:r>
      <w:r>
        <w:rPr>
          <w:rFonts w:ascii="Bookman Old Style" w:hAnsi="Bookman Old Style"/>
          <w:sz w:val="24"/>
          <w:szCs w:val="24"/>
        </w:rPr>
        <w:t>288</w:t>
      </w:r>
      <w:r w:rsidR="007B521E">
        <w:rPr>
          <w:rFonts w:ascii="Bookman Old Style" w:hAnsi="Bookman Old Style"/>
          <w:sz w:val="24"/>
          <w:szCs w:val="24"/>
        </w:rPr>
        <w:t>.</w:t>
      </w:r>
      <w:r>
        <w:rPr>
          <w:rFonts w:ascii="Bookman Old Style" w:hAnsi="Bookman Old Style"/>
          <w:sz w:val="24"/>
          <w:szCs w:val="24"/>
        </w:rPr>
        <w:t>373), dos quais N$1</w:t>
      </w:r>
      <w:r w:rsidR="00D03D8A">
        <w:rPr>
          <w:rFonts w:ascii="Bookman Old Style" w:hAnsi="Bookman Old Style"/>
          <w:sz w:val="24"/>
          <w:szCs w:val="24"/>
        </w:rPr>
        <w:t>.</w:t>
      </w:r>
      <w:r>
        <w:rPr>
          <w:rFonts w:ascii="Bookman Old Style" w:hAnsi="Bookman Old Style"/>
          <w:sz w:val="24"/>
          <w:szCs w:val="24"/>
        </w:rPr>
        <w:t>423</w:t>
      </w:r>
      <w:r w:rsidR="00D03D8A">
        <w:rPr>
          <w:rFonts w:ascii="Bookman Old Style" w:hAnsi="Bookman Old Style"/>
          <w:sz w:val="24"/>
          <w:szCs w:val="24"/>
        </w:rPr>
        <w:t>.</w:t>
      </w:r>
      <w:r>
        <w:rPr>
          <w:rFonts w:ascii="Bookman Old Style" w:hAnsi="Bookman Old Style"/>
          <w:sz w:val="24"/>
          <w:szCs w:val="24"/>
        </w:rPr>
        <w:t>558 (2020: N$8</w:t>
      </w:r>
      <w:r w:rsidR="00D03D8A">
        <w:rPr>
          <w:rFonts w:ascii="Bookman Old Style" w:hAnsi="Bookman Old Style"/>
          <w:sz w:val="24"/>
          <w:szCs w:val="24"/>
        </w:rPr>
        <w:t>.</w:t>
      </w:r>
      <w:r>
        <w:rPr>
          <w:rFonts w:ascii="Bookman Old Style" w:hAnsi="Bookman Old Style"/>
          <w:sz w:val="24"/>
          <w:szCs w:val="24"/>
        </w:rPr>
        <w:t>236</w:t>
      </w:r>
      <w:r w:rsidR="00D03D8A">
        <w:rPr>
          <w:rFonts w:ascii="Bookman Old Style" w:hAnsi="Bookman Old Style"/>
          <w:sz w:val="24"/>
          <w:szCs w:val="24"/>
        </w:rPr>
        <w:t>.</w:t>
      </w:r>
      <w:r>
        <w:rPr>
          <w:rFonts w:ascii="Bookman Old Style" w:hAnsi="Bookman Old Style"/>
          <w:sz w:val="24"/>
          <w:szCs w:val="24"/>
        </w:rPr>
        <w:t>178) fo</w:t>
      </w:r>
      <w:r w:rsidR="00D03D8A">
        <w:rPr>
          <w:rFonts w:ascii="Bookman Old Style" w:hAnsi="Bookman Old Style"/>
          <w:sz w:val="24"/>
          <w:szCs w:val="24"/>
        </w:rPr>
        <w:t>ram</w:t>
      </w:r>
      <w:r>
        <w:rPr>
          <w:rFonts w:ascii="Bookman Old Style" w:hAnsi="Bookman Old Style"/>
          <w:sz w:val="24"/>
          <w:szCs w:val="24"/>
        </w:rPr>
        <w:t xml:space="preserve"> acrescentado</w:t>
      </w:r>
      <w:r w:rsidR="00D03D8A">
        <w:rPr>
          <w:rFonts w:ascii="Bookman Old Style" w:hAnsi="Bookman Old Style"/>
          <w:sz w:val="24"/>
          <w:szCs w:val="24"/>
        </w:rPr>
        <w:t>s</w:t>
      </w:r>
      <w:r>
        <w:rPr>
          <w:rFonts w:ascii="Bookman Old Style" w:hAnsi="Bookman Old Style"/>
          <w:sz w:val="24"/>
          <w:szCs w:val="24"/>
        </w:rPr>
        <w:t xml:space="preserve"> no ano corrente através de acréscimos, cujos detalhes são apresentados no </w:t>
      </w:r>
      <w:r w:rsidR="00D03D8A">
        <w:rPr>
          <w:rFonts w:ascii="Bookman Old Style" w:hAnsi="Bookman Old Style"/>
          <w:sz w:val="24"/>
          <w:szCs w:val="24"/>
        </w:rPr>
        <w:t>subponto</w:t>
      </w:r>
      <w:r>
        <w:rPr>
          <w:rFonts w:ascii="Bookman Old Style" w:hAnsi="Bookman Old Style"/>
          <w:sz w:val="24"/>
          <w:szCs w:val="24"/>
        </w:rPr>
        <w:t xml:space="preserve"> 1.3 mais adiante.</w:t>
      </w:r>
    </w:p>
    <w:p w14:paraId="3266B20B" w14:textId="43138929" w:rsidR="00B00A14" w:rsidRDefault="00926CEC" w:rsidP="00862C1D">
      <w:pPr>
        <w:pStyle w:val="BodyText"/>
        <w:ind w:left="1134" w:right="-46"/>
        <w:jc w:val="both"/>
        <w:rPr>
          <w:rFonts w:ascii="Bookman Old Style" w:hAnsi="Bookman Old Style"/>
          <w:sz w:val="24"/>
          <w:szCs w:val="24"/>
        </w:rPr>
      </w:pPr>
      <w:r>
        <w:rPr>
          <w:rFonts w:ascii="Bookman Old Style" w:hAnsi="Bookman Old Style"/>
          <w:sz w:val="24"/>
          <w:szCs w:val="24"/>
        </w:rPr>
        <w:t xml:space="preserve"> </w:t>
      </w:r>
    </w:p>
    <w:p w14:paraId="2709CB77" w14:textId="77777777" w:rsidR="00862C1D" w:rsidRDefault="00862C1D" w:rsidP="00862C1D">
      <w:pPr>
        <w:pStyle w:val="BodyText"/>
        <w:ind w:left="1134" w:right="-46"/>
        <w:jc w:val="both"/>
        <w:rPr>
          <w:rFonts w:ascii="Bookman Old Style" w:hAnsi="Bookman Old Style"/>
          <w:sz w:val="24"/>
          <w:szCs w:val="24"/>
        </w:rPr>
      </w:pPr>
    </w:p>
    <w:p w14:paraId="11307187" w14:textId="1110BE0D" w:rsidR="009E6798" w:rsidRDefault="009E6798" w:rsidP="00862C1D">
      <w:pPr>
        <w:pStyle w:val="Heading2"/>
        <w:numPr>
          <w:ilvl w:val="0"/>
          <w:numId w:val="13"/>
        </w:numPr>
        <w:tabs>
          <w:tab w:val="left" w:pos="569"/>
          <w:tab w:val="left" w:pos="570"/>
        </w:tabs>
        <w:spacing w:before="95"/>
        <w:ind w:left="1134" w:hanging="425"/>
        <w:rPr>
          <w:rFonts w:ascii="Bookman Old Style" w:hAnsi="Bookman Old Style"/>
          <w:sz w:val="24"/>
          <w:szCs w:val="24"/>
        </w:rPr>
      </w:pPr>
      <w:r>
        <w:rPr>
          <w:rFonts w:ascii="Bookman Old Style" w:hAnsi="Bookman Old Style"/>
          <w:sz w:val="24"/>
          <w:szCs w:val="24"/>
        </w:rPr>
        <w:lastRenderedPageBreak/>
        <w:t>Continuação das operações</w:t>
      </w:r>
    </w:p>
    <w:p w14:paraId="551B4F9F" w14:textId="77777777" w:rsidR="00862C1D" w:rsidRPr="00C361DD" w:rsidRDefault="00862C1D" w:rsidP="00862C1D">
      <w:pPr>
        <w:pStyle w:val="Heading2"/>
        <w:tabs>
          <w:tab w:val="left" w:pos="569"/>
          <w:tab w:val="left" w:pos="570"/>
        </w:tabs>
        <w:spacing w:before="95"/>
        <w:ind w:left="1134"/>
        <w:rPr>
          <w:rFonts w:ascii="Bookman Old Style" w:hAnsi="Bookman Old Style"/>
          <w:sz w:val="24"/>
          <w:szCs w:val="24"/>
        </w:rPr>
      </w:pPr>
    </w:p>
    <w:p w14:paraId="0A7FF1EE" w14:textId="62922640" w:rsidR="009E6798" w:rsidRPr="00C361DD" w:rsidRDefault="0067074D" w:rsidP="00862C1D">
      <w:pPr>
        <w:pStyle w:val="BodyText"/>
        <w:spacing w:before="7"/>
        <w:ind w:left="1134"/>
        <w:rPr>
          <w:rFonts w:ascii="Bookman Old Style" w:hAnsi="Bookman Old Style"/>
          <w:bCs/>
          <w:sz w:val="24"/>
          <w:szCs w:val="24"/>
        </w:rPr>
      </w:pPr>
      <w:r>
        <w:rPr>
          <w:rFonts w:ascii="Bookman Old Style" w:hAnsi="Bookman Old Style"/>
          <w:bCs/>
          <w:sz w:val="24"/>
          <w:szCs w:val="24"/>
        </w:rPr>
        <w:t>A Comissão Executiva deverá pronunciar-se sobre o futuro da instituição na seguintes declaração:</w:t>
      </w:r>
    </w:p>
    <w:p w14:paraId="0E526445" w14:textId="77777777" w:rsidR="00C67D04" w:rsidRPr="00C81EF9" w:rsidRDefault="00C67D04" w:rsidP="00806D96">
      <w:pPr>
        <w:pStyle w:val="BodyText"/>
        <w:spacing w:before="7"/>
        <w:ind w:left="1985" w:hanging="567"/>
        <w:rPr>
          <w:rFonts w:ascii="Bookman Old Style" w:hAnsi="Bookman Old Style"/>
          <w:bCs/>
          <w:sz w:val="16"/>
          <w:szCs w:val="16"/>
        </w:rPr>
      </w:pPr>
    </w:p>
    <w:p w14:paraId="6970FF8A" w14:textId="004CBF4D" w:rsidR="009E6798" w:rsidRPr="00C361DD" w:rsidRDefault="00C67D04" w:rsidP="00862C1D">
      <w:pPr>
        <w:pStyle w:val="BodyText"/>
        <w:tabs>
          <w:tab w:val="left" w:pos="8323"/>
        </w:tabs>
        <w:spacing w:before="1"/>
        <w:ind w:left="1418" w:right="703"/>
        <w:jc w:val="both"/>
        <w:rPr>
          <w:rFonts w:ascii="Bookman Old Style" w:hAnsi="Bookman Old Style"/>
          <w:sz w:val="24"/>
          <w:szCs w:val="24"/>
        </w:rPr>
      </w:pPr>
      <w:r>
        <w:rPr>
          <w:rFonts w:ascii="Bookman Old Style" w:hAnsi="Bookman Old Style"/>
          <w:sz w:val="24"/>
          <w:szCs w:val="24"/>
        </w:rPr>
        <w:t xml:space="preserve">«A Comissão Executiva pensa que o Fórum tem recursos financeiros suficientes para continuar em operação num futuro previsível e as demonstrações financeiras anuais foram devidamente elaboradas </w:t>
      </w:r>
      <w:r w:rsidR="00D03D8A">
        <w:rPr>
          <w:rFonts w:ascii="Bookman Old Style" w:hAnsi="Bookman Old Style"/>
          <w:sz w:val="24"/>
          <w:szCs w:val="24"/>
        </w:rPr>
        <w:t xml:space="preserve">com </w:t>
      </w:r>
      <w:r>
        <w:rPr>
          <w:rFonts w:ascii="Bookman Old Style" w:hAnsi="Bookman Old Style"/>
          <w:sz w:val="24"/>
          <w:szCs w:val="24"/>
        </w:rPr>
        <w:t xml:space="preserve">o pressuposto da continuidade. Os membros da Comissão Executiva estão convictos de que o Fórum está numa situação financeira satisfatória e que tem acesso a mecanismos suficientes de </w:t>
      </w:r>
      <w:r w:rsidR="00D03D8A">
        <w:rPr>
          <w:rFonts w:ascii="Bookman Old Style" w:hAnsi="Bookman Old Style"/>
          <w:sz w:val="24"/>
          <w:szCs w:val="24"/>
        </w:rPr>
        <w:t>solicitação</w:t>
      </w:r>
      <w:r>
        <w:rPr>
          <w:rFonts w:ascii="Bookman Old Style" w:hAnsi="Bookman Old Style"/>
          <w:sz w:val="24"/>
          <w:szCs w:val="24"/>
        </w:rPr>
        <w:t xml:space="preserve"> de empréstimos para satisfazer os seus requisitos previsíveis de caixa. Os membros da Comissão Executiva também não têm conhecimento de nenhum incumprimento material de requisitos estatutários ou regulatórios ou de nenhumas mudanças pendentes da legislação que possam afectar o Fórum.»</w:t>
      </w:r>
    </w:p>
    <w:p w14:paraId="466B1498" w14:textId="77777777" w:rsidR="005D55C2" w:rsidRPr="00C81EF9" w:rsidRDefault="005D55C2" w:rsidP="00E9732A">
      <w:pPr>
        <w:pStyle w:val="ListParagraph"/>
        <w:jc w:val="both"/>
        <w:rPr>
          <w:rFonts w:ascii="Bookman Old Style" w:eastAsia="Calibri" w:hAnsi="Bookman Old Style" w:cs="Arial"/>
          <w:bCs/>
          <w:sz w:val="16"/>
          <w:szCs w:val="16"/>
        </w:rPr>
      </w:pPr>
    </w:p>
    <w:p w14:paraId="694A4285" w14:textId="12ACBDAA" w:rsidR="005D55C2" w:rsidRPr="00C361DD" w:rsidRDefault="005D55C2" w:rsidP="00862C1D">
      <w:pPr>
        <w:pStyle w:val="ListParagraph"/>
        <w:numPr>
          <w:ilvl w:val="1"/>
          <w:numId w:val="12"/>
        </w:numPr>
        <w:ind w:left="567" w:hanging="567"/>
        <w:jc w:val="both"/>
        <w:rPr>
          <w:rFonts w:ascii="Bookman Old Style" w:eastAsia="Calibri" w:hAnsi="Bookman Old Style" w:cs="Arial"/>
          <w:b/>
          <w:sz w:val="24"/>
          <w:szCs w:val="24"/>
        </w:rPr>
      </w:pPr>
      <w:bookmarkStart w:id="9" w:name="_Hlk85037490"/>
      <w:r>
        <w:rPr>
          <w:rFonts w:ascii="Bookman Old Style" w:hAnsi="Bookman Old Style"/>
          <w:b/>
          <w:sz w:val="24"/>
          <w:szCs w:val="24"/>
        </w:rPr>
        <w:t>Parecer de auditoria</w:t>
      </w:r>
    </w:p>
    <w:bookmarkEnd w:id="9"/>
    <w:p w14:paraId="60E6E1EC" w14:textId="77777777" w:rsidR="005D55C2" w:rsidRPr="00C81EF9" w:rsidRDefault="005D55C2" w:rsidP="00E9732A">
      <w:pPr>
        <w:pStyle w:val="ListParagraph"/>
        <w:jc w:val="both"/>
        <w:rPr>
          <w:rFonts w:ascii="Bookman Old Style" w:eastAsia="Calibri" w:hAnsi="Bookman Old Style" w:cs="Arial"/>
          <w:bCs/>
          <w:sz w:val="16"/>
          <w:szCs w:val="16"/>
        </w:rPr>
      </w:pPr>
    </w:p>
    <w:p w14:paraId="1476135F" w14:textId="2086C62F" w:rsidR="005D55C2" w:rsidRPr="00C361DD" w:rsidRDefault="005D55C2" w:rsidP="00862C1D">
      <w:pPr>
        <w:pStyle w:val="ListParagraph"/>
        <w:ind w:left="567" w:firstLine="0"/>
        <w:jc w:val="both"/>
        <w:rPr>
          <w:rFonts w:ascii="Bookman Old Style" w:eastAsia="Calibri" w:hAnsi="Bookman Old Style" w:cs="Arial"/>
          <w:bCs/>
          <w:sz w:val="24"/>
          <w:szCs w:val="24"/>
        </w:rPr>
      </w:pPr>
      <w:r>
        <w:rPr>
          <w:rFonts w:ascii="Bookman Old Style" w:hAnsi="Bookman Old Style"/>
          <w:bCs/>
          <w:sz w:val="24"/>
          <w:szCs w:val="24"/>
        </w:rPr>
        <w:t>É parecer da auditoria que as demonstrações financeiras anuais apresentam de forma adequada, em todos os aspectos relevantes, a situação financeira do Fórum Parlamentar da SADC (</w:t>
      </w:r>
      <w:r w:rsidR="00D03D8A">
        <w:rPr>
          <w:rFonts w:ascii="Bookman Old Style" w:hAnsi="Bookman Old Style"/>
          <w:bCs/>
          <w:sz w:val="24"/>
          <w:szCs w:val="24"/>
        </w:rPr>
        <w:t xml:space="preserve">doravante </w:t>
      </w:r>
      <w:r>
        <w:rPr>
          <w:rFonts w:ascii="Bookman Old Style" w:hAnsi="Bookman Old Style"/>
          <w:bCs/>
          <w:sz w:val="24"/>
          <w:szCs w:val="24"/>
        </w:rPr>
        <w:t xml:space="preserve">«Fórum») no período findo em 31 de </w:t>
      </w:r>
      <w:r w:rsidR="00D03D8A">
        <w:rPr>
          <w:rFonts w:ascii="Bookman Old Style" w:hAnsi="Bookman Old Style"/>
          <w:bCs/>
          <w:sz w:val="24"/>
          <w:szCs w:val="24"/>
        </w:rPr>
        <w:t>Março</w:t>
      </w:r>
      <w:r>
        <w:rPr>
          <w:rFonts w:ascii="Bookman Old Style" w:hAnsi="Bookman Old Style"/>
          <w:bCs/>
          <w:sz w:val="24"/>
          <w:szCs w:val="24"/>
        </w:rPr>
        <w:t xml:space="preserve"> de 2022, bem como o seu desempenho financeiro e fluxos de caixa referentes ao exercício findo na referida data, em conformidade com as Normas Internacionais de Relatórios Financeiros.</w:t>
      </w:r>
    </w:p>
    <w:p w14:paraId="46DA1F50" w14:textId="77777777" w:rsidR="005D55C2" w:rsidRPr="00C81EF9" w:rsidRDefault="005D55C2" w:rsidP="00E9732A">
      <w:pPr>
        <w:pStyle w:val="ListParagraph"/>
        <w:ind w:firstLine="0"/>
        <w:jc w:val="both"/>
        <w:rPr>
          <w:rFonts w:ascii="Bookman Old Style" w:eastAsia="Calibri" w:hAnsi="Bookman Old Style" w:cs="Arial"/>
          <w:bCs/>
          <w:sz w:val="16"/>
          <w:szCs w:val="16"/>
        </w:rPr>
      </w:pPr>
    </w:p>
    <w:p w14:paraId="283B9DCF" w14:textId="2627D060" w:rsidR="005D55C2" w:rsidRPr="000055DC" w:rsidRDefault="005D55C2" w:rsidP="00862C1D">
      <w:pPr>
        <w:pStyle w:val="ListParagraph"/>
        <w:numPr>
          <w:ilvl w:val="1"/>
          <w:numId w:val="12"/>
        </w:numPr>
        <w:ind w:left="567" w:hanging="567"/>
        <w:jc w:val="both"/>
        <w:rPr>
          <w:rFonts w:ascii="Bookman Old Style" w:eastAsia="Calibri" w:hAnsi="Bookman Old Style" w:cs="Arial"/>
          <w:b/>
          <w:sz w:val="24"/>
          <w:szCs w:val="24"/>
        </w:rPr>
      </w:pPr>
      <w:bookmarkStart w:id="10" w:name="_Hlk85037515"/>
      <w:r>
        <w:rPr>
          <w:rFonts w:ascii="Bookman Old Style" w:hAnsi="Bookman Old Style"/>
          <w:b/>
          <w:sz w:val="24"/>
          <w:szCs w:val="24"/>
        </w:rPr>
        <w:t xml:space="preserve">Demonstração da posição financeira registada em 31 de </w:t>
      </w:r>
      <w:r w:rsidR="00D03D8A">
        <w:rPr>
          <w:rFonts w:ascii="Bookman Old Style" w:hAnsi="Bookman Old Style"/>
          <w:b/>
          <w:sz w:val="24"/>
          <w:szCs w:val="24"/>
        </w:rPr>
        <w:t>Marco</w:t>
      </w:r>
      <w:r>
        <w:rPr>
          <w:rFonts w:ascii="Bookman Old Style" w:hAnsi="Bookman Old Style"/>
          <w:b/>
          <w:sz w:val="24"/>
          <w:szCs w:val="24"/>
        </w:rPr>
        <w:t xml:space="preserve"> de 2022</w:t>
      </w:r>
    </w:p>
    <w:bookmarkEnd w:id="10"/>
    <w:p w14:paraId="3942BFA4" w14:textId="656F3A27" w:rsidR="005D55C2" w:rsidRPr="000055DC" w:rsidRDefault="005D55C2" w:rsidP="00862C1D">
      <w:pPr>
        <w:pStyle w:val="ListParagraph"/>
        <w:ind w:left="567" w:hanging="11"/>
        <w:jc w:val="both"/>
        <w:rPr>
          <w:rFonts w:ascii="Bookman Old Style" w:eastAsia="Calibri" w:hAnsi="Bookman Old Style" w:cs="Arial"/>
          <w:bCs/>
          <w:sz w:val="24"/>
          <w:szCs w:val="24"/>
        </w:rPr>
      </w:pPr>
      <w:r>
        <w:rPr>
          <w:rFonts w:ascii="Bookman Old Style" w:hAnsi="Bookman Old Style"/>
          <w:bCs/>
          <w:sz w:val="24"/>
          <w:szCs w:val="24"/>
        </w:rPr>
        <w:t xml:space="preserve">Importa </w:t>
      </w:r>
      <w:r w:rsidR="00C81EF9">
        <w:rPr>
          <w:rFonts w:ascii="Bookman Old Style" w:hAnsi="Bookman Old Style"/>
          <w:bCs/>
          <w:sz w:val="24"/>
          <w:szCs w:val="24"/>
        </w:rPr>
        <w:t xml:space="preserve">registar </w:t>
      </w:r>
      <w:r>
        <w:rPr>
          <w:rFonts w:ascii="Bookman Old Style" w:hAnsi="Bookman Old Style"/>
          <w:bCs/>
          <w:sz w:val="24"/>
          <w:szCs w:val="24"/>
        </w:rPr>
        <w:t>o seguinte:</w:t>
      </w:r>
    </w:p>
    <w:p w14:paraId="1EDCC5A7" w14:textId="77777777" w:rsidR="00B8241F" w:rsidRPr="00C81EF9" w:rsidRDefault="00B8241F" w:rsidP="00B8241F">
      <w:pPr>
        <w:pStyle w:val="ListParagraph"/>
        <w:jc w:val="both"/>
        <w:rPr>
          <w:rFonts w:ascii="Bookman Old Style" w:eastAsia="Calibri" w:hAnsi="Bookman Old Style" w:cs="Arial"/>
          <w:bCs/>
          <w:sz w:val="16"/>
          <w:szCs w:val="16"/>
        </w:rPr>
      </w:pPr>
    </w:p>
    <w:p w14:paraId="50BEDA15" w14:textId="404A7DE1" w:rsidR="005D55C2" w:rsidRPr="000055DC" w:rsidRDefault="005D55C2" w:rsidP="00862C1D">
      <w:pPr>
        <w:pStyle w:val="ListParagraph"/>
        <w:numPr>
          <w:ilvl w:val="2"/>
          <w:numId w:val="12"/>
        </w:numPr>
        <w:ind w:left="851" w:hanging="851"/>
        <w:jc w:val="both"/>
        <w:rPr>
          <w:rFonts w:ascii="Bookman Old Style" w:eastAsia="Calibri" w:hAnsi="Bookman Old Style" w:cs="Arial"/>
          <w:b/>
          <w:sz w:val="24"/>
          <w:szCs w:val="24"/>
        </w:rPr>
      </w:pPr>
      <w:r>
        <w:rPr>
          <w:rFonts w:ascii="Bookman Old Style" w:hAnsi="Bookman Old Style"/>
          <w:b/>
          <w:sz w:val="24"/>
          <w:szCs w:val="24"/>
        </w:rPr>
        <w:t>Activos Fixos Tangíveis</w:t>
      </w:r>
      <w:r>
        <w:rPr>
          <w:rFonts w:ascii="Bookman Old Style" w:hAnsi="Bookman Old Style"/>
          <w:b/>
          <w:color w:val="FF0000"/>
          <w:sz w:val="24"/>
          <w:szCs w:val="24"/>
        </w:rPr>
        <w:t xml:space="preserve"> </w:t>
      </w:r>
    </w:p>
    <w:p w14:paraId="1B766EEF" w14:textId="18B34618" w:rsidR="008770AB" w:rsidRPr="00C81EF9" w:rsidRDefault="008770AB" w:rsidP="00862C1D">
      <w:pPr>
        <w:pStyle w:val="BodyText"/>
        <w:numPr>
          <w:ilvl w:val="0"/>
          <w:numId w:val="14"/>
        </w:numPr>
        <w:ind w:left="1276" w:right="95" w:hanging="425"/>
        <w:jc w:val="both"/>
        <w:rPr>
          <w:rFonts w:ascii="Bookman Old Style" w:eastAsia="Calibri" w:hAnsi="Bookman Old Style"/>
          <w:bCs/>
          <w:sz w:val="24"/>
          <w:szCs w:val="24"/>
        </w:rPr>
      </w:pPr>
      <w:r>
        <w:rPr>
          <w:rFonts w:ascii="Bookman Old Style" w:hAnsi="Bookman Old Style"/>
          <w:bCs/>
          <w:sz w:val="24"/>
          <w:szCs w:val="24"/>
        </w:rPr>
        <w:t xml:space="preserve">Durante o exercício financeiro 2021-2022, o valor contabilístico líquido (VCL) dos activos fixos tangíveis aumentou de N$8.288.373 </w:t>
      </w:r>
      <w:r w:rsidR="00C81EF9">
        <w:rPr>
          <w:rFonts w:ascii="Bookman Old Style" w:hAnsi="Bookman Old Style"/>
          <w:bCs/>
          <w:sz w:val="24"/>
          <w:szCs w:val="24"/>
        </w:rPr>
        <w:t>par</w:t>
      </w:r>
      <w:r>
        <w:rPr>
          <w:rFonts w:ascii="Bookman Old Style" w:hAnsi="Bookman Old Style"/>
          <w:bCs/>
          <w:sz w:val="24"/>
          <w:szCs w:val="24"/>
        </w:rPr>
        <w:t>a N$9.562.385. Este aumento de valor resultou do seguinte:</w:t>
      </w:r>
    </w:p>
    <w:p w14:paraId="3094C6C9" w14:textId="77777777" w:rsidR="00C81EF9" w:rsidRPr="000055DC" w:rsidRDefault="00C81EF9" w:rsidP="00C81EF9">
      <w:pPr>
        <w:pStyle w:val="BodyText"/>
        <w:ind w:left="2552" w:right="95"/>
        <w:jc w:val="both"/>
        <w:rPr>
          <w:rFonts w:ascii="Bookman Old Style" w:eastAsia="Calibri" w:hAnsi="Bookman Old Style"/>
          <w:bCs/>
          <w:sz w:val="24"/>
          <w:szCs w:val="24"/>
        </w:rPr>
      </w:pPr>
    </w:p>
    <w:p w14:paraId="298A902E" w14:textId="3B717AF8" w:rsidR="008770AB" w:rsidRPr="000055DC" w:rsidRDefault="008770AB" w:rsidP="008770AB">
      <w:pPr>
        <w:pStyle w:val="BodyText"/>
        <w:ind w:left="2020" w:right="818"/>
        <w:jc w:val="both"/>
        <w:rPr>
          <w:rFonts w:ascii="Bookman Old Style" w:eastAsia="Calibri"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N$</w:t>
      </w:r>
    </w:p>
    <w:p w14:paraId="43CA07E2" w14:textId="18F9E2E1" w:rsidR="008770AB" w:rsidRPr="000055DC" w:rsidRDefault="008770AB" w:rsidP="00862C1D">
      <w:pPr>
        <w:pStyle w:val="BodyText"/>
        <w:ind w:left="1560" w:right="818"/>
        <w:jc w:val="both"/>
        <w:rPr>
          <w:rFonts w:ascii="Bookman Old Style" w:eastAsia="Calibri" w:hAnsi="Bookman Old Style"/>
          <w:bCs/>
          <w:sz w:val="24"/>
          <w:szCs w:val="24"/>
        </w:rPr>
      </w:pPr>
      <w:r>
        <w:rPr>
          <w:rFonts w:ascii="Bookman Old Style" w:hAnsi="Bookman Old Style"/>
          <w:bCs/>
          <w:sz w:val="24"/>
          <w:szCs w:val="24"/>
        </w:rPr>
        <w:t>VCL em 1 de Abril de 2021</w:t>
      </w:r>
      <w:r>
        <w:rPr>
          <w:rFonts w:ascii="Bookman Old Style" w:hAnsi="Bookman Old Style"/>
          <w:bCs/>
          <w:sz w:val="24"/>
          <w:szCs w:val="24"/>
        </w:rPr>
        <w:tab/>
      </w:r>
      <w:r>
        <w:rPr>
          <w:rFonts w:ascii="Bookman Old Style" w:hAnsi="Bookman Old Style"/>
          <w:bCs/>
          <w:sz w:val="24"/>
          <w:szCs w:val="24"/>
        </w:rPr>
        <w:tab/>
        <w:t>8.288.373</w:t>
      </w:r>
    </w:p>
    <w:p w14:paraId="389D3468" w14:textId="17EC39C6" w:rsidR="008770AB" w:rsidRPr="000055DC" w:rsidRDefault="008770AB" w:rsidP="00862C1D">
      <w:pPr>
        <w:pStyle w:val="BodyText"/>
        <w:ind w:left="1560" w:right="818"/>
        <w:jc w:val="both"/>
        <w:rPr>
          <w:rFonts w:ascii="Bookman Old Style" w:eastAsia="Calibri" w:hAnsi="Bookman Old Style"/>
          <w:bCs/>
          <w:sz w:val="24"/>
          <w:szCs w:val="24"/>
        </w:rPr>
      </w:pPr>
      <w:r>
        <w:rPr>
          <w:rFonts w:ascii="Bookman Old Style" w:hAnsi="Bookman Old Style"/>
          <w:bCs/>
          <w:sz w:val="24"/>
          <w:szCs w:val="24"/>
        </w:rPr>
        <w:t>Acréscimos durante o ano:</w:t>
      </w:r>
    </w:p>
    <w:p w14:paraId="01F04251" w14:textId="1B3CD0F3" w:rsidR="008770AB" w:rsidRPr="000055DC" w:rsidRDefault="008770AB" w:rsidP="00862C1D">
      <w:pPr>
        <w:pStyle w:val="BodyText"/>
        <w:ind w:left="1560" w:right="818"/>
        <w:jc w:val="both"/>
        <w:rPr>
          <w:rFonts w:ascii="Bookman Old Style" w:eastAsia="Calibri" w:hAnsi="Bookman Old Style"/>
          <w:bCs/>
          <w:sz w:val="24"/>
          <w:szCs w:val="24"/>
        </w:rPr>
      </w:pPr>
      <w:r>
        <w:rPr>
          <w:rFonts w:ascii="Bookman Old Style" w:hAnsi="Bookman Old Style"/>
          <w:bCs/>
          <w:sz w:val="24"/>
          <w:szCs w:val="24"/>
        </w:rPr>
        <w:t>Nova viatura para a Secretária-geral (X7)</w:t>
      </w:r>
      <w:r>
        <w:rPr>
          <w:rFonts w:ascii="Bookman Old Style" w:hAnsi="Bookman Old Style"/>
          <w:bCs/>
          <w:sz w:val="24"/>
          <w:szCs w:val="24"/>
        </w:rPr>
        <w:tab/>
      </w:r>
      <w:r w:rsidR="00C81EF9">
        <w:rPr>
          <w:rFonts w:ascii="Bookman Old Style" w:hAnsi="Bookman Old Style"/>
          <w:bCs/>
          <w:sz w:val="24"/>
          <w:szCs w:val="24"/>
        </w:rPr>
        <w:tab/>
      </w:r>
      <w:r w:rsidR="00C81EF9">
        <w:rPr>
          <w:rFonts w:ascii="Bookman Old Style" w:hAnsi="Bookman Old Style"/>
          <w:bCs/>
          <w:sz w:val="24"/>
          <w:szCs w:val="24"/>
        </w:rPr>
        <w:tab/>
      </w:r>
      <w:r w:rsidR="00C81EF9">
        <w:rPr>
          <w:rFonts w:ascii="Bookman Old Style" w:hAnsi="Bookman Old Style"/>
          <w:bCs/>
          <w:sz w:val="24"/>
          <w:szCs w:val="24"/>
        </w:rPr>
        <w:tab/>
      </w:r>
      <w:r w:rsidR="00C81EF9">
        <w:rPr>
          <w:rFonts w:ascii="Bookman Old Style" w:hAnsi="Bookman Old Style"/>
          <w:bCs/>
          <w:sz w:val="24"/>
          <w:szCs w:val="24"/>
        </w:rPr>
        <w:tab/>
      </w:r>
      <w:r w:rsidR="00C81EF9">
        <w:rPr>
          <w:rFonts w:ascii="Bookman Old Style" w:hAnsi="Bookman Old Style"/>
          <w:bCs/>
          <w:sz w:val="24"/>
          <w:szCs w:val="24"/>
        </w:rPr>
        <w:tab/>
      </w:r>
      <w:r w:rsidR="00C81EF9">
        <w:rPr>
          <w:rFonts w:ascii="Bookman Old Style" w:hAnsi="Bookman Old Style"/>
          <w:bCs/>
          <w:sz w:val="24"/>
          <w:szCs w:val="24"/>
        </w:rPr>
        <w:tab/>
      </w:r>
      <w:r>
        <w:rPr>
          <w:rFonts w:ascii="Bookman Old Style" w:hAnsi="Bookman Old Style"/>
          <w:bCs/>
          <w:sz w:val="24"/>
          <w:szCs w:val="24"/>
        </w:rPr>
        <w:t>1.298.021</w:t>
      </w:r>
    </w:p>
    <w:p w14:paraId="792CCA4E" w14:textId="0999E5DE" w:rsidR="008770AB" w:rsidRPr="000055DC" w:rsidRDefault="004B682A" w:rsidP="00862C1D">
      <w:pPr>
        <w:pStyle w:val="BodyText"/>
        <w:ind w:left="1560" w:right="818"/>
        <w:jc w:val="both"/>
        <w:rPr>
          <w:rFonts w:ascii="Bookman Old Style" w:eastAsia="Calibri" w:hAnsi="Bookman Old Style"/>
          <w:bCs/>
          <w:sz w:val="24"/>
          <w:szCs w:val="24"/>
        </w:rPr>
      </w:pPr>
      <w:r>
        <w:rPr>
          <w:rFonts w:ascii="Bookman Old Style" w:hAnsi="Bookman Old Style"/>
          <w:bCs/>
          <w:sz w:val="24"/>
          <w:szCs w:val="24"/>
        </w:rPr>
        <w:t>Equipamento de escritório</w:t>
      </w:r>
      <w:r>
        <w:rPr>
          <w:rFonts w:ascii="Bookman Old Style" w:hAnsi="Bookman Old Style"/>
          <w:bCs/>
          <w:sz w:val="24"/>
          <w:szCs w:val="24"/>
        </w:rPr>
        <w:tab/>
      </w:r>
      <w:r w:rsidR="00C81EF9">
        <w:rPr>
          <w:rFonts w:ascii="Bookman Old Style" w:hAnsi="Bookman Old Style"/>
          <w:bCs/>
          <w:sz w:val="24"/>
          <w:szCs w:val="24"/>
        </w:rPr>
        <w:tab/>
        <w:t xml:space="preserve">     </w:t>
      </w:r>
      <w:r>
        <w:rPr>
          <w:rFonts w:ascii="Bookman Old Style" w:hAnsi="Bookman Old Style"/>
          <w:bCs/>
          <w:sz w:val="24"/>
          <w:szCs w:val="24"/>
        </w:rPr>
        <w:t>10.300</w:t>
      </w:r>
    </w:p>
    <w:p w14:paraId="465A0AF9" w14:textId="34BD5171" w:rsidR="008770AB" w:rsidRPr="000055DC" w:rsidRDefault="008770AB" w:rsidP="00862C1D">
      <w:pPr>
        <w:pStyle w:val="BodyText"/>
        <w:ind w:left="1560" w:right="818"/>
        <w:jc w:val="both"/>
        <w:rPr>
          <w:rFonts w:ascii="Bookman Old Style" w:eastAsia="Calibri" w:hAnsi="Bookman Old Style"/>
          <w:bCs/>
          <w:sz w:val="24"/>
          <w:szCs w:val="24"/>
        </w:rPr>
      </w:pPr>
      <w:r>
        <w:rPr>
          <w:rFonts w:ascii="Bookman Old Style" w:hAnsi="Bookman Old Style"/>
          <w:bCs/>
          <w:sz w:val="24"/>
          <w:szCs w:val="24"/>
        </w:rPr>
        <w:t>Equipamentos informáticos</w:t>
      </w:r>
      <w:r>
        <w:rPr>
          <w:rFonts w:ascii="Bookman Old Style" w:hAnsi="Bookman Old Style"/>
          <w:bCs/>
          <w:sz w:val="24"/>
          <w:szCs w:val="24"/>
        </w:rPr>
        <w:tab/>
      </w:r>
      <w:r w:rsidR="00C81EF9">
        <w:rPr>
          <w:rFonts w:ascii="Bookman Old Style" w:hAnsi="Bookman Old Style"/>
          <w:bCs/>
          <w:sz w:val="24"/>
          <w:szCs w:val="24"/>
        </w:rPr>
        <w:t xml:space="preserve">   </w:t>
      </w:r>
      <w:r>
        <w:rPr>
          <w:rFonts w:ascii="Bookman Old Style" w:hAnsi="Bookman Old Style"/>
          <w:bCs/>
          <w:sz w:val="24"/>
          <w:szCs w:val="24"/>
        </w:rPr>
        <w:t>115.237</w:t>
      </w:r>
    </w:p>
    <w:p w14:paraId="0763CDF3" w14:textId="77777777" w:rsidR="008770AB" w:rsidRPr="000055DC" w:rsidRDefault="008770AB" w:rsidP="00862C1D">
      <w:pPr>
        <w:pStyle w:val="BodyText"/>
        <w:ind w:left="1560" w:right="818"/>
        <w:jc w:val="both"/>
        <w:rPr>
          <w:rFonts w:ascii="Bookman Old Style" w:eastAsia="Calibri" w:hAnsi="Bookman Old Style"/>
          <w:bCs/>
          <w:sz w:val="24"/>
          <w:szCs w:val="24"/>
        </w:rPr>
      </w:pPr>
      <w:r>
        <w:rPr>
          <w:rFonts w:ascii="Bookman Old Style" w:hAnsi="Bookman Old Style"/>
          <w:bCs/>
          <w:sz w:val="24"/>
          <w:szCs w:val="24"/>
        </w:rPr>
        <w:t>Menos:</w:t>
      </w:r>
    </w:p>
    <w:p w14:paraId="1AE08E70" w14:textId="47499627" w:rsidR="008770AB" w:rsidRPr="000055DC" w:rsidRDefault="008770AB" w:rsidP="00862C1D">
      <w:pPr>
        <w:pStyle w:val="BodyText"/>
        <w:ind w:left="1560" w:right="818"/>
        <w:jc w:val="both"/>
        <w:rPr>
          <w:rFonts w:ascii="Bookman Old Style" w:eastAsia="Calibri" w:hAnsi="Bookman Old Style"/>
          <w:bCs/>
          <w:sz w:val="24"/>
          <w:szCs w:val="24"/>
        </w:rPr>
      </w:pPr>
      <w:r>
        <w:rPr>
          <w:rFonts w:ascii="Bookman Old Style" w:hAnsi="Bookman Old Style"/>
          <w:bCs/>
          <w:sz w:val="24"/>
          <w:szCs w:val="24"/>
        </w:rPr>
        <w:t>Depreciação</w:t>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sidR="00C81EF9">
        <w:rPr>
          <w:rFonts w:ascii="Bookman Old Style" w:hAnsi="Bookman Old Style"/>
          <w:bCs/>
          <w:sz w:val="24"/>
          <w:szCs w:val="24"/>
        </w:rPr>
        <w:tab/>
        <w:t xml:space="preserve">  </w:t>
      </w:r>
      <w:r>
        <w:rPr>
          <w:rFonts w:ascii="Bookman Old Style" w:hAnsi="Bookman Old Style"/>
          <w:bCs/>
          <w:sz w:val="24"/>
          <w:szCs w:val="24"/>
        </w:rPr>
        <w:t>–149.546</w:t>
      </w:r>
    </w:p>
    <w:p w14:paraId="31532EDD" w14:textId="5C776EEF" w:rsidR="008770AB" w:rsidRPr="000055DC" w:rsidRDefault="008770AB" w:rsidP="00862C1D">
      <w:pPr>
        <w:pStyle w:val="BodyText"/>
        <w:ind w:left="1560" w:right="818"/>
        <w:jc w:val="both"/>
        <w:rPr>
          <w:rFonts w:ascii="Bookman Old Style" w:eastAsia="Calibri" w:hAnsi="Bookman Old Style"/>
          <w:bCs/>
          <w:sz w:val="24"/>
          <w:szCs w:val="24"/>
        </w:rPr>
      </w:pPr>
      <w:r>
        <w:rPr>
          <w:rFonts w:ascii="Bookman Old Style" w:hAnsi="Bookman Old Style"/>
          <w:bCs/>
          <w:sz w:val="24"/>
          <w:szCs w:val="24"/>
        </w:rPr>
        <w:t>VCL em 1 de Abril de 2022</w:t>
      </w:r>
      <w:r>
        <w:rPr>
          <w:rFonts w:ascii="Bookman Old Style" w:hAnsi="Bookman Old Style"/>
          <w:sz w:val="24"/>
          <w:szCs w:val="24"/>
        </w:rPr>
        <w:tab/>
      </w:r>
      <w:r>
        <w:rPr>
          <w:rFonts w:ascii="Bookman Old Style" w:hAnsi="Bookman Old Style"/>
          <w:sz w:val="24"/>
          <w:szCs w:val="24"/>
        </w:rPr>
        <w:tab/>
      </w:r>
      <w:r>
        <w:rPr>
          <w:rFonts w:ascii="Bookman Old Style" w:hAnsi="Bookman Old Style"/>
          <w:b/>
          <w:sz w:val="24"/>
          <w:szCs w:val="24"/>
          <w:bdr w:val="single" w:sz="4" w:space="0" w:color="auto"/>
        </w:rPr>
        <w:t>9.562.385</w:t>
      </w:r>
    </w:p>
    <w:p w14:paraId="41D43F11" w14:textId="6D6E49D9" w:rsidR="008770AB" w:rsidRPr="000055DC" w:rsidRDefault="008F5EA2" w:rsidP="00862C1D">
      <w:pPr>
        <w:pStyle w:val="BodyText"/>
        <w:numPr>
          <w:ilvl w:val="0"/>
          <w:numId w:val="14"/>
        </w:numPr>
        <w:ind w:left="1276" w:right="95" w:hanging="425"/>
        <w:jc w:val="both"/>
        <w:rPr>
          <w:rFonts w:ascii="Bookman Old Style" w:eastAsia="Calibri" w:hAnsi="Bookman Old Style"/>
          <w:bCs/>
          <w:sz w:val="24"/>
          <w:szCs w:val="24"/>
        </w:rPr>
      </w:pPr>
      <w:r>
        <w:rPr>
          <w:rFonts w:ascii="Bookman Old Style" w:hAnsi="Bookman Old Style"/>
          <w:bCs/>
          <w:sz w:val="24"/>
          <w:szCs w:val="24"/>
        </w:rPr>
        <w:lastRenderedPageBreak/>
        <w:t>Residência oficial da Secretária-geral, 89 JH Ithana, Ludwigsdorf, Klein Windhoek:</w:t>
      </w:r>
    </w:p>
    <w:p w14:paraId="06843FF4" w14:textId="404169C5" w:rsidR="008770AB" w:rsidRPr="000055DC" w:rsidRDefault="00BD7D39" w:rsidP="00862C1D">
      <w:pPr>
        <w:pStyle w:val="BodyText"/>
        <w:ind w:left="1276" w:right="95"/>
        <w:jc w:val="both"/>
        <w:rPr>
          <w:rFonts w:ascii="Bookman Old Style" w:eastAsia="Calibri" w:hAnsi="Bookman Old Style"/>
          <w:bCs/>
          <w:sz w:val="24"/>
          <w:szCs w:val="24"/>
        </w:rPr>
      </w:pPr>
      <w:r>
        <w:rPr>
          <w:rFonts w:ascii="Bookman Old Style" w:hAnsi="Bookman Old Style"/>
          <w:bCs/>
          <w:sz w:val="24"/>
          <w:szCs w:val="24"/>
        </w:rPr>
        <w:t>O valor contabilístico da propriedade em 31 de Março de 2022 cifr</w:t>
      </w:r>
      <w:r w:rsidR="00C81EF9">
        <w:rPr>
          <w:rFonts w:ascii="Bookman Old Style" w:hAnsi="Bookman Old Style"/>
          <w:bCs/>
          <w:sz w:val="24"/>
          <w:szCs w:val="24"/>
        </w:rPr>
        <w:t>ou</w:t>
      </w:r>
      <w:r>
        <w:rPr>
          <w:rFonts w:ascii="Bookman Old Style" w:hAnsi="Bookman Old Style"/>
          <w:bCs/>
          <w:sz w:val="24"/>
          <w:szCs w:val="24"/>
        </w:rPr>
        <w:t xml:space="preserve">-se em N$7.733.958 (representando as construções no valor de N$4.933.958 e o terreno no valor de N$2.800.000). Em comparação, </w:t>
      </w:r>
      <w:r w:rsidR="00C81EF9">
        <w:rPr>
          <w:rFonts w:ascii="Bookman Old Style" w:hAnsi="Bookman Old Style"/>
          <w:bCs/>
          <w:sz w:val="24"/>
          <w:szCs w:val="24"/>
        </w:rPr>
        <w:t xml:space="preserve">em 31 de Março de 2021, </w:t>
      </w:r>
      <w:r>
        <w:rPr>
          <w:rFonts w:ascii="Bookman Old Style" w:hAnsi="Bookman Old Style"/>
          <w:bCs/>
          <w:sz w:val="24"/>
          <w:szCs w:val="24"/>
        </w:rPr>
        <w:t xml:space="preserve">o valor da propriedade foi estimada em N$7.814.971 (representando as estruturas </w:t>
      </w:r>
      <w:r w:rsidR="00C81EF9">
        <w:rPr>
          <w:rFonts w:ascii="Bookman Old Style" w:hAnsi="Bookman Old Style"/>
          <w:bCs/>
          <w:sz w:val="24"/>
          <w:szCs w:val="24"/>
        </w:rPr>
        <w:t>de construção</w:t>
      </w:r>
      <w:r>
        <w:rPr>
          <w:rFonts w:ascii="Bookman Old Style" w:hAnsi="Bookman Old Style"/>
          <w:bCs/>
          <w:sz w:val="24"/>
          <w:szCs w:val="24"/>
        </w:rPr>
        <w:t xml:space="preserve"> no valor de N$5.014.971 e o terreno no valor de N$2.800.000). A depreciação das estruturas foi avaliada em N$81.013.</w:t>
      </w:r>
    </w:p>
    <w:p w14:paraId="1A961FC7" w14:textId="77777777" w:rsidR="008770AB" w:rsidRPr="000055DC" w:rsidRDefault="008770AB" w:rsidP="00862C1D">
      <w:pPr>
        <w:pStyle w:val="BodyText"/>
        <w:ind w:left="1276" w:right="95" w:hanging="425"/>
        <w:jc w:val="both"/>
        <w:rPr>
          <w:rFonts w:ascii="Bookman Old Style" w:eastAsia="Calibri" w:hAnsi="Bookman Old Style"/>
          <w:bCs/>
          <w:sz w:val="24"/>
          <w:szCs w:val="24"/>
        </w:rPr>
      </w:pPr>
    </w:p>
    <w:p w14:paraId="02007618" w14:textId="5925D035" w:rsidR="00747CF9" w:rsidRPr="000055DC" w:rsidRDefault="00747CF9" w:rsidP="00862C1D">
      <w:pPr>
        <w:pStyle w:val="BodyText"/>
        <w:numPr>
          <w:ilvl w:val="0"/>
          <w:numId w:val="14"/>
        </w:numPr>
        <w:ind w:left="1276" w:right="818" w:hanging="425"/>
        <w:jc w:val="both"/>
        <w:rPr>
          <w:rFonts w:ascii="Bookman Old Style" w:eastAsia="Calibri" w:hAnsi="Bookman Old Style"/>
          <w:bCs/>
          <w:sz w:val="24"/>
          <w:szCs w:val="24"/>
        </w:rPr>
      </w:pPr>
      <w:r>
        <w:rPr>
          <w:rFonts w:ascii="Bookman Old Style" w:hAnsi="Bookman Old Style"/>
          <w:bCs/>
          <w:sz w:val="24"/>
          <w:szCs w:val="24"/>
        </w:rPr>
        <w:t>Viatura</w:t>
      </w:r>
    </w:p>
    <w:p w14:paraId="1AB178EB" w14:textId="7FDD2BF1" w:rsidR="00747CF9" w:rsidRPr="000055DC" w:rsidRDefault="00747CF9" w:rsidP="00862C1D">
      <w:pPr>
        <w:pStyle w:val="BodyText"/>
        <w:ind w:left="1276" w:right="95"/>
        <w:jc w:val="both"/>
        <w:rPr>
          <w:rFonts w:ascii="Bookman Old Style" w:eastAsia="Calibri" w:hAnsi="Bookman Old Style"/>
          <w:bCs/>
          <w:sz w:val="24"/>
          <w:szCs w:val="24"/>
        </w:rPr>
      </w:pPr>
      <w:r>
        <w:rPr>
          <w:rFonts w:ascii="Bookman Old Style" w:hAnsi="Bookman Old Style"/>
          <w:bCs/>
          <w:sz w:val="24"/>
          <w:szCs w:val="24"/>
        </w:rPr>
        <w:t>Durante o ano de 2021/22, a viatura atribuída à Secretária-geral para uso pessoal foi adquirida ao preço de N$1.298.021. O valor estimado em 31 de Março de 2022 é de N$1.276.388 depois de uma depreciação de N$21.633.</w:t>
      </w:r>
    </w:p>
    <w:p w14:paraId="62EBC90A" w14:textId="77777777" w:rsidR="0044684A" w:rsidRPr="000055DC" w:rsidRDefault="0044684A" w:rsidP="00862C1D">
      <w:pPr>
        <w:pStyle w:val="BodyText"/>
        <w:ind w:left="1276" w:right="818" w:hanging="425"/>
        <w:jc w:val="both"/>
        <w:rPr>
          <w:rFonts w:ascii="Bookman Old Style" w:eastAsia="Calibri" w:hAnsi="Bookman Old Style"/>
          <w:bCs/>
          <w:sz w:val="24"/>
          <w:szCs w:val="24"/>
        </w:rPr>
      </w:pPr>
    </w:p>
    <w:p w14:paraId="0C4DC83F" w14:textId="4BEE4123" w:rsidR="008770AB" w:rsidRPr="000055DC" w:rsidRDefault="0044684A" w:rsidP="00862C1D">
      <w:pPr>
        <w:pStyle w:val="BodyText"/>
        <w:numPr>
          <w:ilvl w:val="0"/>
          <w:numId w:val="14"/>
        </w:numPr>
        <w:ind w:left="1276" w:right="818" w:hanging="425"/>
        <w:jc w:val="both"/>
        <w:rPr>
          <w:rFonts w:ascii="Bookman Old Style" w:eastAsia="Calibri" w:hAnsi="Bookman Old Style"/>
          <w:bCs/>
          <w:sz w:val="24"/>
          <w:szCs w:val="24"/>
        </w:rPr>
      </w:pPr>
      <w:r>
        <w:rPr>
          <w:rFonts w:ascii="Bookman Old Style" w:hAnsi="Bookman Old Style"/>
          <w:bCs/>
          <w:sz w:val="24"/>
          <w:szCs w:val="24"/>
        </w:rPr>
        <w:t>Propriedade sita no Lote 66, Erosweg, Eros, Windhoek</w:t>
      </w:r>
    </w:p>
    <w:p w14:paraId="0B782995" w14:textId="15824E0C" w:rsidR="00056FAE" w:rsidRPr="0055600A" w:rsidRDefault="008770AB" w:rsidP="00862C1D">
      <w:pPr>
        <w:pStyle w:val="BodyText"/>
        <w:ind w:left="1276" w:right="-46"/>
        <w:jc w:val="both"/>
        <w:rPr>
          <w:rFonts w:ascii="Bookman Old Style" w:eastAsia="Calibri" w:hAnsi="Bookman Old Style"/>
          <w:bCs/>
          <w:sz w:val="24"/>
          <w:szCs w:val="24"/>
          <w:highlight w:val="yellow"/>
        </w:rPr>
      </w:pPr>
      <w:r>
        <w:rPr>
          <w:rFonts w:ascii="Bookman Old Style" w:hAnsi="Bookman Old Style"/>
          <w:bCs/>
          <w:sz w:val="24"/>
          <w:szCs w:val="24"/>
        </w:rPr>
        <w:t xml:space="preserve">Durante o exercício financeiro de 2021/22, o valor da casa reduziu ainda de N$2.800.000 para N$2.470.000 com base no valor do mercado (última oferta de venda recebida) de 8 de Julho de 2022. Para estar em conformidade com as Normas Internacionais de Prestação de Relatório Financeiro (IFRS5), a casa passou </w:t>
      </w:r>
      <w:r w:rsidR="00C81EF9">
        <w:rPr>
          <w:rFonts w:ascii="Bookman Old Style" w:hAnsi="Bookman Old Style"/>
          <w:bCs/>
          <w:sz w:val="24"/>
          <w:szCs w:val="24"/>
        </w:rPr>
        <w:t xml:space="preserve">a </w:t>
      </w:r>
      <w:r>
        <w:rPr>
          <w:rFonts w:ascii="Bookman Old Style" w:hAnsi="Bookman Old Style"/>
          <w:bCs/>
          <w:sz w:val="24"/>
          <w:szCs w:val="24"/>
        </w:rPr>
        <w:t xml:space="preserve">classificar-se como «activo disponível para venda» no valor de N$2.470.000. </w:t>
      </w:r>
      <w:r>
        <w:rPr>
          <w:rFonts w:ascii="Bookman Old Style" w:hAnsi="Bookman Old Style"/>
          <w:color w:val="000000"/>
          <w:sz w:val="24"/>
          <w:szCs w:val="24"/>
        </w:rPr>
        <w:t>Perante esta situação, foi reconhecida uma perda por imparidade de N$330.000 (2021: N$ 1.012.817) sobre a mensuração do grupo para alienação ao justo valor, menos os custos da venda na demonstração de resultados.</w:t>
      </w:r>
    </w:p>
    <w:p w14:paraId="1FD762A1" w14:textId="24EF6DD1" w:rsidR="00CD5C30" w:rsidRPr="00413C40" w:rsidRDefault="00CD5C30" w:rsidP="00862C1D">
      <w:pPr>
        <w:pStyle w:val="ListParagraph"/>
        <w:ind w:left="1276" w:right="-46" w:hanging="425"/>
        <w:jc w:val="both"/>
        <w:rPr>
          <w:rFonts w:ascii="Bookman Old Style" w:eastAsia="Calibri" w:hAnsi="Bookman Old Style" w:cs="Arial"/>
          <w:bCs/>
          <w:sz w:val="24"/>
          <w:szCs w:val="24"/>
          <w:highlight w:val="yellow"/>
        </w:rPr>
      </w:pPr>
    </w:p>
    <w:p w14:paraId="50FC60D8" w14:textId="49F8E9FD" w:rsidR="006B2A68" w:rsidRPr="00DD617C" w:rsidRDefault="006B2A68" w:rsidP="00862C1D">
      <w:pPr>
        <w:pStyle w:val="TableParagraph"/>
        <w:numPr>
          <w:ilvl w:val="0"/>
          <w:numId w:val="14"/>
        </w:numPr>
        <w:ind w:left="1276" w:hanging="425"/>
        <w:jc w:val="both"/>
        <w:rPr>
          <w:rFonts w:ascii="Bookman Old Style" w:hAnsi="Bookman Old Style"/>
          <w:bCs/>
          <w:sz w:val="24"/>
          <w:szCs w:val="24"/>
        </w:rPr>
      </w:pPr>
      <w:bookmarkStart w:id="11" w:name="_Hlk117008574"/>
      <w:r>
        <w:rPr>
          <w:rFonts w:ascii="Bookman Old Style" w:hAnsi="Bookman Old Style"/>
          <w:bCs/>
          <w:sz w:val="24"/>
          <w:szCs w:val="24"/>
        </w:rPr>
        <w:t>Activos Fixos Tangíveis onerados como garantia –</w:t>
      </w:r>
    </w:p>
    <w:bookmarkEnd w:id="11"/>
    <w:p w14:paraId="518CC506" w14:textId="3D32BD3D" w:rsidR="00E50041" w:rsidRDefault="00270BF1" w:rsidP="00862C1D">
      <w:pPr>
        <w:pStyle w:val="TableParagraph"/>
        <w:ind w:left="1276"/>
        <w:jc w:val="both"/>
        <w:rPr>
          <w:rFonts w:ascii="Bookman Old Style" w:hAnsi="Bookman Old Style"/>
          <w:bCs/>
          <w:sz w:val="24"/>
          <w:szCs w:val="24"/>
        </w:rPr>
      </w:pPr>
      <w:r>
        <w:rPr>
          <w:rFonts w:ascii="Bookman Old Style" w:hAnsi="Bookman Old Style"/>
          <w:bCs/>
          <w:sz w:val="24"/>
          <w:szCs w:val="24"/>
        </w:rPr>
        <w:t xml:space="preserve">Empréstimo concedido pelo Nedbank: </w:t>
      </w:r>
      <w:bookmarkStart w:id="12" w:name="_Hlk117008712"/>
      <w:r>
        <w:rPr>
          <w:rFonts w:ascii="Bookman Old Style" w:hAnsi="Bookman Old Style"/>
          <w:bCs/>
          <w:sz w:val="24"/>
          <w:szCs w:val="24"/>
        </w:rPr>
        <w:t xml:space="preserve">Os seguintes activos foram onerados como garantia para os empréstimos a longo prazo segurados: </w:t>
      </w:r>
      <w:bookmarkEnd w:id="12"/>
      <w:r>
        <w:rPr>
          <w:rFonts w:ascii="Bookman Old Style" w:hAnsi="Bookman Old Style"/>
          <w:bCs/>
          <w:sz w:val="24"/>
          <w:szCs w:val="24"/>
        </w:rPr>
        <w:t xml:space="preserve">Terreno e edifícios N$7.733.959. O empréstimo é indexado em Dólar Namibiano (N$), vence juros </w:t>
      </w:r>
      <w:r w:rsidR="00C81EF9">
        <w:rPr>
          <w:rFonts w:ascii="Bookman Old Style" w:hAnsi="Bookman Old Style"/>
          <w:bCs/>
          <w:sz w:val="24"/>
          <w:szCs w:val="24"/>
        </w:rPr>
        <w:t>n</w:t>
      </w:r>
      <w:r>
        <w:rPr>
          <w:rFonts w:ascii="Bookman Old Style" w:hAnsi="Bookman Old Style"/>
          <w:bCs/>
          <w:sz w:val="24"/>
          <w:szCs w:val="24"/>
        </w:rPr>
        <w:t xml:space="preserve">uma taxa de 7,50% por ano, é segurado </w:t>
      </w:r>
      <w:r w:rsidR="00C81EF9">
        <w:rPr>
          <w:rFonts w:ascii="Bookman Old Style" w:hAnsi="Bookman Old Style"/>
          <w:bCs/>
          <w:sz w:val="24"/>
          <w:szCs w:val="24"/>
        </w:rPr>
        <w:t>relativamente a</w:t>
      </w:r>
      <w:r>
        <w:rPr>
          <w:rFonts w:ascii="Bookman Old Style" w:hAnsi="Bookman Old Style"/>
          <w:bCs/>
          <w:sz w:val="24"/>
          <w:szCs w:val="24"/>
        </w:rPr>
        <w:t xml:space="preserve">os edifícios </w:t>
      </w:r>
      <w:r w:rsidR="00C81EF9">
        <w:rPr>
          <w:rFonts w:ascii="Bookman Old Style" w:hAnsi="Bookman Old Style"/>
          <w:bCs/>
          <w:sz w:val="24"/>
          <w:szCs w:val="24"/>
        </w:rPr>
        <w:t>com</w:t>
      </w:r>
      <w:r>
        <w:rPr>
          <w:rFonts w:ascii="Bookman Old Style" w:hAnsi="Bookman Old Style"/>
          <w:bCs/>
          <w:sz w:val="24"/>
          <w:szCs w:val="24"/>
        </w:rPr>
        <w:t xml:space="preserve"> N$4.933.959 e </w:t>
      </w:r>
      <w:r w:rsidR="00C81EF9">
        <w:rPr>
          <w:rFonts w:ascii="Bookman Old Style" w:hAnsi="Bookman Old Style"/>
          <w:bCs/>
          <w:sz w:val="24"/>
          <w:szCs w:val="24"/>
        </w:rPr>
        <w:t xml:space="preserve">ao </w:t>
      </w:r>
      <w:r>
        <w:rPr>
          <w:rFonts w:ascii="Bookman Old Style" w:hAnsi="Bookman Old Style"/>
          <w:bCs/>
          <w:sz w:val="24"/>
          <w:szCs w:val="24"/>
        </w:rPr>
        <w:t xml:space="preserve">terreno </w:t>
      </w:r>
      <w:r w:rsidR="00C81EF9">
        <w:rPr>
          <w:rFonts w:ascii="Bookman Old Style" w:hAnsi="Bookman Old Style"/>
          <w:bCs/>
          <w:sz w:val="24"/>
          <w:szCs w:val="24"/>
        </w:rPr>
        <w:t>com</w:t>
      </w:r>
      <w:r>
        <w:rPr>
          <w:rFonts w:ascii="Bookman Old Style" w:hAnsi="Bookman Old Style"/>
          <w:bCs/>
          <w:sz w:val="24"/>
          <w:szCs w:val="24"/>
        </w:rPr>
        <w:t xml:space="preserve"> N$ 2.800.000</w:t>
      </w:r>
      <w:r w:rsidR="00C81EF9">
        <w:rPr>
          <w:rFonts w:ascii="Bookman Old Style" w:hAnsi="Bookman Old Style"/>
          <w:bCs/>
          <w:sz w:val="24"/>
          <w:szCs w:val="24"/>
        </w:rPr>
        <w:t>,</w:t>
      </w:r>
      <w:r>
        <w:rPr>
          <w:rFonts w:ascii="Bookman Old Style" w:hAnsi="Bookman Old Style"/>
          <w:bCs/>
          <w:sz w:val="24"/>
          <w:szCs w:val="24"/>
        </w:rPr>
        <w:t xml:space="preserve"> e </w:t>
      </w:r>
      <w:r w:rsidR="00C81EF9">
        <w:rPr>
          <w:rFonts w:ascii="Bookman Old Style" w:hAnsi="Bookman Old Style"/>
          <w:bCs/>
          <w:sz w:val="24"/>
          <w:szCs w:val="24"/>
        </w:rPr>
        <w:t>reembolsável</w:t>
      </w:r>
      <w:r>
        <w:rPr>
          <w:rFonts w:ascii="Bookman Old Style" w:hAnsi="Bookman Old Style"/>
          <w:bCs/>
          <w:sz w:val="24"/>
          <w:szCs w:val="24"/>
        </w:rPr>
        <w:t xml:space="preserve"> em prestações de 118 meses.</w:t>
      </w:r>
    </w:p>
    <w:p w14:paraId="66CB92D6" w14:textId="3C22F774" w:rsidR="00E50041" w:rsidRPr="00DD617C" w:rsidRDefault="00E50041" w:rsidP="00862C1D">
      <w:pPr>
        <w:pStyle w:val="TableParagraph"/>
        <w:ind w:left="1276" w:hanging="425"/>
        <w:jc w:val="both"/>
        <w:rPr>
          <w:rFonts w:ascii="Bookman Old Style" w:hAnsi="Bookman Old Style"/>
          <w:bCs/>
          <w:sz w:val="24"/>
          <w:szCs w:val="24"/>
        </w:rPr>
      </w:pPr>
    </w:p>
    <w:p w14:paraId="4851F537" w14:textId="35A717EC" w:rsidR="00E50041" w:rsidRDefault="00763608" w:rsidP="00862C1D">
      <w:pPr>
        <w:pStyle w:val="TableParagraph"/>
        <w:numPr>
          <w:ilvl w:val="0"/>
          <w:numId w:val="14"/>
        </w:numPr>
        <w:ind w:left="1276" w:hanging="425"/>
        <w:jc w:val="both"/>
        <w:rPr>
          <w:rFonts w:ascii="Bookman Old Style" w:hAnsi="Bookman Old Style"/>
          <w:bCs/>
          <w:sz w:val="24"/>
          <w:szCs w:val="24"/>
        </w:rPr>
      </w:pPr>
      <w:r>
        <w:rPr>
          <w:rFonts w:ascii="Bookman Old Style" w:hAnsi="Bookman Old Style"/>
          <w:bCs/>
          <w:sz w:val="24"/>
          <w:szCs w:val="24"/>
        </w:rPr>
        <w:t>Activos Fixos Tangíveis onerados como garantia –</w:t>
      </w:r>
    </w:p>
    <w:p w14:paraId="664D8948" w14:textId="633CCB11" w:rsidR="00763608" w:rsidRDefault="00763608" w:rsidP="00862C1D">
      <w:pPr>
        <w:pStyle w:val="TableParagraph"/>
        <w:ind w:left="1276"/>
        <w:jc w:val="both"/>
        <w:rPr>
          <w:rFonts w:ascii="Bookman Old Style" w:hAnsi="Bookman Old Style"/>
          <w:bCs/>
          <w:sz w:val="24"/>
          <w:szCs w:val="24"/>
        </w:rPr>
      </w:pPr>
      <w:r>
        <w:rPr>
          <w:rFonts w:ascii="Bookman Old Style" w:hAnsi="Bookman Old Style"/>
          <w:bCs/>
          <w:sz w:val="24"/>
          <w:szCs w:val="24"/>
        </w:rPr>
        <w:t>Empréstimo de viatura junto do FNB:</w:t>
      </w:r>
    </w:p>
    <w:p w14:paraId="2E472877" w14:textId="4D606CCB" w:rsidR="00763608" w:rsidRPr="002B0121" w:rsidRDefault="00043D00" w:rsidP="00862C1D">
      <w:pPr>
        <w:pStyle w:val="TableParagraph"/>
        <w:ind w:left="1276"/>
        <w:jc w:val="both"/>
        <w:rPr>
          <w:rFonts w:ascii="Bookman Old Style" w:eastAsia="Times New Roman" w:hAnsi="Bookman Old Style" w:cs="Times New Roman"/>
          <w:color w:val="000000"/>
          <w:sz w:val="24"/>
          <w:szCs w:val="24"/>
        </w:rPr>
      </w:pPr>
      <w:r>
        <w:rPr>
          <w:rFonts w:ascii="Bookman Old Style" w:hAnsi="Bookman Old Style"/>
          <w:bCs/>
          <w:sz w:val="24"/>
          <w:szCs w:val="24"/>
        </w:rPr>
        <w:t xml:space="preserve">Os seguintes activos foram onerados como garantia para os empréstimos a longo prazo segurados: Viatura N$1.276.388: </w:t>
      </w:r>
      <w:r>
        <w:rPr>
          <w:rFonts w:ascii="Bookman Old Style" w:hAnsi="Bookman Old Style"/>
          <w:color w:val="000000"/>
          <w:sz w:val="24"/>
          <w:szCs w:val="24"/>
        </w:rPr>
        <w:t xml:space="preserve">O empréstimo é indexado em Dólar Namibiano (N$), vence juros </w:t>
      </w:r>
      <w:r w:rsidR="00C81EF9">
        <w:rPr>
          <w:rFonts w:ascii="Bookman Old Style" w:hAnsi="Bookman Old Style"/>
          <w:color w:val="000000"/>
          <w:sz w:val="24"/>
          <w:szCs w:val="24"/>
        </w:rPr>
        <w:t>n</w:t>
      </w:r>
      <w:r>
        <w:rPr>
          <w:rFonts w:ascii="Bookman Old Style" w:hAnsi="Bookman Old Style"/>
          <w:color w:val="000000"/>
          <w:sz w:val="24"/>
          <w:szCs w:val="24"/>
        </w:rPr>
        <w:t>uma taxa de 9,50% por ano, é segurado e reembolsável em prestações de 60 meses.</w:t>
      </w:r>
    </w:p>
    <w:p w14:paraId="0D9FF791" w14:textId="77777777" w:rsidR="002B0121" w:rsidRDefault="002B0121" w:rsidP="00763608">
      <w:pPr>
        <w:pStyle w:val="TableParagraph"/>
        <w:ind w:left="2552"/>
        <w:jc w:val="both"/>
        <w:rPr>
          <w:rFonts w:ascii="Bookman Old Style" w:hAnsi="Bookman Old Style"/>
          <w:bCs/>
          <w:sz w:val="24"/>
          <w:szCs w:val="24"/>
        </w:rPr>
      </w:pPr>
    </w:p>
    <w:p w14:paraId="65D7FEFA" w14:textId="6BBADB74" w:rsidR="00E6653B" w:rsidRPr="00747CF9" w:rsidRDefault="00E6653B" w:rsidP="00862C1D">
      <w:pPr>
        <w:pStyle w:val="TableParagraph"/>
        <w:numPr>
          <w:ilvl w:val="0"/>
          <w:numId w:val="14"/>
        </w:numPr>
        <w:ind w:left="1276" w:hanging="425"/>
        <w:jc w:val="both"/>
        <w:rPr>
          <w:rFonts w:ascii="Bookman Old Style" w:hAnsi="Bookman Old Style"/>
          <w:bCs/>
          <w:sz w:val="24"/>
          <w:szCs w:val="24"/>
        </w:rPr>
      </w:pPr>
      <w:r>
        <w:rPr>
          <w:rFonts w:ascii="Bookman Old Style" w:hAnsi="Bookman Old Style"/>
          <w:bCs/>
          <w:sz w:val="24"/>
          <w:szCs w:val="24"/>
        </w:rPr>
        <w:t>Alienação d</w:t>
      </w:r>
      <w:r w:rsidR="00C81EF9">
        <w:rPr>
          <w:rFonts w:ascii="Bookman Old Style" w:hAnsi="Bookman Old Style"/>
          <w:bCs/>
          <w:sz w:val="24"/>
          <w:szCs w:val="24"/>
        </w:rPr>
        <w:t>a</w:t>
      </w:r>
      <w:r>
        <w:rPr>
          <w:rFonts w:ascii="Bookman Old Style" w:hAnsi="Bookman Old Style"/>
          <w:bCs/>
          <w:sz w:val="24"/>
          <w:szCs w:val="24"/>
        </w:rPr>
        <w:t xml:space="preserve"> viatura</w:t>
      </w:r>
    </w:p>
    <w:p w14:paraId="31B6E46D" w14:textId="2EC068D9" w:rsidR="00E6653B" w:rsidRPr="00747CF9" w:rsidRDefault="00E6653B" w:rsidP="002D49EC">
      <w:pPr>
        <w:pStyle w:val="TableParagraph"/>
        <w:ind w:left="1276"/>
        <w:jc w:val="both"/>
        <w:rPr>
          <w:rFonts w:ascii="Bookman Old Style" w:hAnsi="Bookman Old Style"/>
          <w:bCs/>
          <w:sz w:val="24"/>
          <w:szCs w:val="24"/>
        </w:rPr>
      </w:pPr>
      <w:r>
        <w:rPr>
          <w:rFonts w:ascii="Bookman Old Style" w:hAnsi="Bookman Old Style"/>
          <w:bCs/>
          <w:sz w:val="24"/>
          <w:szCs w:val="24"/>
        </w:rPr>
        <w:t xml:space="preserve">Durante o exercício financeiro de 2021/2022, o Fórum vendeu </w:t>
      </w:r>
      <w:r w:rsidR="00C81EF9">
        <w:rPr>
          <w:rFonts w:ascii="Bookman Old Style" w:hAnsi="Bookman Old Style"/>
          <w:bCs/>
          <w:sz w:val="24"/>
          <w:szCs w:val="24"/>
        </w:rPr>
        <w:t xml:space="preserve">a </w:t>
      </w:r>
      <w:r>
        <w:rPr>
          <w:rFonts w:ascii="Bookman Old Style" w:hAnsi="Bookman Old Style"/>
          <w:bCs/>
          <w:sz w:val="24"/>
          <w:szCs w:val="24"/>
        </w:rPr>
        <w:t xml:space="preserve">sua viatura Landcruiser (LC200 4.5 V8 VX Diesel) </w:t>
      </w:r>
      <w:r w:rsidR="00C81EF9">
        <w:rPr>
          <w:rFonts w:ascii="Bookman Old Style" w:hAnsi="Bookman Old Style"/>
          <w:bCs/>
          <w:sz w:val="24"/>
          <w:szCs w:val="24"/>
        </w:rPr>
        <w:t xml:space="preserve">no montante </w:t>
      </w:r>
      <w:r>
        <w:rPr>
          <w:rFonts w:ascii="Bookman Old Style" w:hAnsi="Bookman Old Style"/>
          <w:bCs/>
          <w:sz w:val="24"/>
          <w:szCs w:val="24"/>
        </w:rPr>
        <w:t xml:space="preserve">de </w:t>
      </w:r>
      <w:r>
        <w:rPr>
          <w:rFonts w:ascii="Bookman Old Style" w:hAnsi="Bookman Old Style"/>
          <w:bCs/>
          <w:sz w:val="24"/>
          <w:szCs w:val="24"/>
        </w:rPr>
        <w:lastRenderedPageBreak/>
        <w:t xml:space="preserve">N$560.000. Essa viatura </w:t>
      </w:r>
      <w:r w:rsidR="00C81EF9">
        <w:rPr>
          <w:rFonts w:ascii="Bookman Old Style" w:hAnsi="Bookman Old Style"/>
          <w:bCs/>
          <w:sz w:val="24"/>
          <w:szCs w:val="24"/>
        </w:rPr>
        <w:t>tinha sido</w:t>
      </w:r>
      <w:r>
        <w:rPr>
          <w:rFonts w:ascii="Bookman Old Style" w:hAnsi="Bookman Old Style"/>
          <w:bCs/>
          <w:sz w:val="24"/>
          <w:szCs w:val="24"/>
        </w:rPr>
        <w:t xml:space="preserve"> comprada em Outubro de 2014 </w:t>
      </w:r>
      <w:r w:rsidR="00C81EF9">
        <w:rPr>
          <w:rFonts w:ascii="Bookman Old Style" w:hAnsi="Bookman Old Style"/>
          <w:bCs/>
          <w:sz w:val="24"/>
          <w:szCs w:val="24"/>
        </w:rPr>
        <w:t>n</w:t>
      </w:r>
      <w:r>
        <w:rPr>
          <w:rFonts w:ascii="Bookman Old Style" w:hAnsi="Bookman Old Style"/>
          <w:bCs/>
          <w:sz w:val="24"/>
          <w:szCs w:val="24"/>
        </w:rPr>
        <w:t xml:space="preserve">o montante de N$750.653 e tinha depreciado totalmente. </w:t>
      </w:r>
    </w:p>
    <w:p w14:paraId="1054AEAA" w14:textId="77777777" w:rsidR="00CD5C30" w:rsidRPr="00413C40" w:rsidRDefault="00CD5C30" w:rsidP="005E58B7">
      <w:pPr>
        <w:pStyle w:val="ListParagraph"/>
        <w:ind w:left="2020" w:firstLine="0"/>
        <w:jc w:val="both"/>
        <w:rPr>
          <w:rFonts w:ascii="Bookman Old Style" w:eastAsia="Calibri" w:hAnsi="Bookman Old Style" w:cs="Arial"/>
          <w:bCs/>
          <w:sz w:val="24"/>
          <w:szCs w:val="24"/>
          <w:highlight w:val="yellow"/>
        </w:rPr>
      </w:pPr>
    </w:p>
    <w:p w14:paraId="43D58BC8" w14:textId="3AE95009" w:rsidR="005D55C2" w:rsidRPr="002374A6" w:rsidRDefault="00FA6E04" w:rsidP="002D49EC">
      <w:pPr>
        <w:pStyle w:val="ListParagraph"/>
        <w:numPr>
          <w:ilvl w:val="2"/>
          <w:numId w:val="12"/>
        </w:numPr>
        <w:ind w:left="851" w:hanging="709"/>
        <w:jc w:val="both"/>
        <w:rPr>
          <w:rFonts w:ascii="Bookman Old Style" w:eastAsia="Calibri" w:hAnsi="Bookman Old Style" w:cs="Arial"/>
          <w:bCs/>
          <w:sz w:val="24"/>
          <w:szCs w:val="24"/>
        </w:rPr>
      </w:pPr>
      <w:r>
        <w:rPr>
          <w:rFonts w:ascii="Bookman Old Style" w:hAnsi="Bookman Old Style"/>
          <w:bCs/>
          <w:sz w:val="24"/>
          <w:szCs w:val="24"/>
        </w:rPr>
        <w:t>Capital próprio (lucro acumulado)</w:t>
      </w:r>
    </w:p>
    <w:p w14:paraId="2220CEEC" w14:textId="11A1065A" w:rsidR="006E3456" w:rsidRPr="002374A6" w:rsidRDefault="005D55C2" w:rsidP="002D49EC">
      <w:pPr>
        <w:pStyle w:val="ListParagraph"/>
        <w:ind w:left="851" w:firstLine="0"/>
        <w:jc w:val="both"/>
        <w:rPr>
          <w:rFonts w:ascii="Bookman Old Style" w:eastAsia="Calibri" w:hAnsi="Bookman Old Style" w:cs="Arial"/>
          <w:bCs/>
          <w:sz w:val="24"/>
          <w:szCs w:val="24"/>
        </w:rPr>
      </w:pPr>
      <w:r>
        <w:rPr>
          <w:rFonts w:ascii="Bookman Old Style" w:hAnsi="Bookman Old Style"/>
          <w:bCs/>
          <w:sz w:val="24"/>
          <w:szCs w:val="24"/>
        </w:rPr>
        <w:t>O capital próprio (lucro acumulado) aumentou de N$7.824.498 em 31 de Março de 2021 para N$11.188.607 em 31 de Março de 2022, devido a um excedente operacional de N$3.364.109.  São apresentados mais detalhes do referido excedente na «</w:t>
      </w:r>
      <w:r w:rsidR="00A619B8">
        <w:rPr>
          <w:rFonts w:ascii="Bookman Old Style" w:hAnsi="Bookman Old Style"/>
          <w:bCs/>
          <w:sz w:val="24"/>
          <w:szCs w:val="24"/>
        </w:rPr>
        <w:t>d</w:t>
      </w:r>
      <w:r>
        <w:rPr>
          <w:rFonts w:ascii="Bookman Old Style" w:hAnsi="Bookman Old Style"/>
          <w:bCs/>
          <w:sz w:val="24"/>
          <w:szCs w:val="24"/>
        </w:rPr>
        <w:t xml:space="preserve">emonstração do desempenho financeiro» na </w:t>
      </w:r>
      <w:r w:rsidR="00A619B8">
        <w:rPr>
          <w:rFonts w:ascii="Bookman Old Style" w:hAnsi="Bookman Old Style"/>
          <w:bCs/>
          <w:sz w:val="24"/>
          <w:szCs w:val="24"/>
        </w:rPr>
        <w:t>subsecção</w:t>
      </w:r>
      <w:r>
        <w:rPr>
          <w:rFonts w:ascii="Bookman Old Style" w:hAnsi="Bookman Old Style"/>
          <w:bCs/>
          <w:sz w:val="24"/>
          <w:szCs w:val="24"/>
        </w:rPr>
        <w:t xml:space="preserve"> 1.4 mais adiante. </w:t>
      </w:r>
    </w:p>
    <w:p w14:paraId="0CA69E81" w14:textId="77777777" w:rsidR="006E3456" w:rsidRPr="002374A6" w:rsidRDefault="006E3456" w:rsidP="002D49EC">
      <w:pPr>
        <w:ind w:left="851" w:hanging="709"/>
        <w:jc w:val="both"/>
        <w:rPr>
          <w:rFonts w:ascii="Bookman Old Style" w:eastAsia="Calibri" w:hAnsi="Bookman Old Style" w:cs="Arial"/>
          <w:bCs/>
          <w:sz w:val="24"/>
          <w:szCs w:val="24"/>
        </w:rPr>
      </w:pPr>
    </w:p>
    <w:p w14:paraId="62BE3D6D" w14:textId="072FE602" w:rsidR="00C92533" w:rsidRPr="002374A6" w:rsidRDefault="00C92533" w:rsidP="002D49EC">
      <w:pPr>
        <w:pStyle w:val="ListParagraph"/>
        <w:numPr>
          <w:ilvl w:val="2"/>
          <w:numId w:val="12"/>
        </w:numPr>
        <w:ind w:left="851" w:hanging="709"/>
        <w:jc w:val="both"/>
        <w:rPr>
          <w:rFonts w:ascii="Bookman Old Style" w:eastAsia="Calibri" w:hAnsi="Bookman Old Style" w:cs="Arial"/>
          <w:bCs/>
          <w:sz w:val="24"/>
          <w:szCs w:val="24"/>
        </w:rPr>
      </w:pPr>
      <w:r>
        <w:rPr>
          <w:rFonts w:ascii="Bookman Old Style" w:hAnsi="Bookman Old Style"/>
          <w:b/>
          <w:bCs/>
          <w:sz w:val="24"/>
          <w:szCs w:val="24"/>
        </w:rPr>
        <w:t>Continuação das operações</w:t>
      </w:r>
    </w:p>
    <w:p w14:paraId="73E409A7" w14:textId="11D0FA91" w:rsidR="005D55C2" w:rsidRPr="002374A6" w:rsidRDefault="0028705E" w:rsidP="00887766">
      <w:pPr>
        <w:pStyle w:val="ListParagraph"/>
        <w:ind w:left="851" w:firstLine="0"/>
        <w:jc w:val="both"/>
        <w:rPr>
          <w:rFonts w:ascii="Bookman Old Style" w:eastAsia="Calibri" w:hAnsi="Bookman Old Style" w:cs="Arial"/>
          <w:bCs/>
          <w:sz w:val="24"/>
          <w:szCs w:val="24"/>
        </w:rPr>
      </w:pPr>
      <w:r>
        <w:rPr>
          <w:rFonts w:ascii="Bookman Old Style" w:hAnsi="Bookman Old Style"/>
          <w:bCs/>
          <w:sz w:val="24"/>
          <w:szCs w:val="24"/>
        </w:rPr>
        <w:t>A situação financeira registada em 31 de Março de 2021 afigura-se estável por se contar com um capital próprio de N$11.188.607 representado por um total de activos de N$48.290.119 e um total de passivos de N$37.101.512. Não foi identificada nenhuma ameaça à continuidade das actividades da instituição.</w:t>
      </w:r>
    </w:p>
    <w:p w14:paraId="546DA0E5" w14:textId="77777777" w:rsidR="006D617A" w:rsidRPr="00413C40" w:rsidRDefault="006D617A" w:rsidP="002D49EC">
      <w:pPr>
        <w:pStyle w:val="ListParagraph"/>
        <w:ind w:left="851" w:hanging="709"/>
        <w:jc w:val="both"/>
        <w:rPr>
          <w:rFonts w:ascii="Bookman Old Style" w:eastAsia="Calibri" w:hAnsi="Bookman Old Style" w:cs="Arial"/>
          <w:bCs/>
          <w:sz w:val="24"/>
          <w:szCs w:val="24"/>
          <w:highlight w:val="yellow"/>
        </w:rPr>
      </w:pPr>
    </w:p>
    <w:p w14:paraId="7FCFFC0E" w14:textId="5675C580" w:rsidR="005F570F" w:rsidRPr="002374A6" w:rsidRDefault="00552C12" w:rsidP="002D49EC">
      <w:pPr>
        <w:pStyle w:val="ListParagraph"/>
        <w:numPr>
          <w:ilvl w:val="2"/>
          <w:numId w:val="12"/>
        </w:numPr>
        <w:ind w:left="851" w:hanging="709"/>
        <w:jc w:val="both"/>
        <w:rPr>
          <w:rFonts w:ascii="Bookman Old Style" w:eastAsia="Calibri" w:hAnsi="Bookman Old Style" w:cs="Arial"/>
          <w:bCs/>
          <w:sz w:val="24"/>
          <w:szCs w:val="24"/>
        </w:rPr>
      </w:pPr>
      <w:r>
        <w:rPr>
          <w:rFonts w:ascii="Bookman Old Style" w:hAnsi="Bookman Old Style"/>
          <w:bCs/>
          <w:sz w:val="24"/>
          <w:szCs w:val="24"/>
        </w:rPr>
        <w:t>Fundos restritos</w:t>
      </w:r>
    </w:p>
    <w:p w14:paraId="69059926" w14:textId="0A3F07E6" w:rsidR="005F570F" w:rsidRPr="00A619B8" w:rsidRDefault="005F570F" w:rsidP="00887766">
      <w:pPr>
        <w:pStyle w:val="BodyText"/>
        <w:ind w:left="851" w:right="-46"/>
        <w:jc w:val="both"/>
        <w:rPr>
          <w:rFonts w:ascii="Bookman Old Style" w:hAnsi="Bookman Old Style"/>
          <w:sz w:val="24"/>
          <w:szCs w:val="24"/>
        </w:rPr>
      </w:pPr>
      <w:r>
        <w:rPr>
          <w:rFonts w:ascii="Bookman Old Style" w:hAnsi="Bookman Old Style"/>
          <w:sz w:val="24"/>
          <w:szCs w:val="24"/>
        </w:rPr>
        <w:t>Incluso na caixa e equivalentes de caixa é um valor de N$22.340.457 (2021: N$ 21.793.468</w:t>
      </w:r>
      <w:r w:rsidR="00A619B8">
        <w:rPr>
          <w:rFonts w:ascii="Bookman Old Style" w:hAnsi="Bookman Old Style"/>
          <w:sz w:val="24"/>
          <w:szCs w:val="24"/>
        </w:rPr>
        <w:t>)</w:t>
      </w:r>
      <w:r>
        <w:rPr>
          <w:rFonts w:ascii="Bookman Old Style" w:hAnsi="Bookman Old Style"/>
          <w:sz w:val="24"/>
          <w:szCs w:val="24"/>
        </w:rPr>
        <w:t xml:space="preserve"> relacionado com contas bancárias para financiamento externo destinado a projectos específicos. </w:t>
      </w:r>
      <w:r w:rsidRPr="00A619B8">
        <w:rPr>
          <w:rFonts w:ascii="Bookman Old Style" w:hAnsi="Bookman Old Style"/>
          <w:sz w:val="24"/>
          <w:szCs w:val="24"/>
        </w:rPr>
        <w:t>Os fundos são mantidos em contas bancárias designadas a serem usadas só para efeitos de financiamento de projectos específicos.</w:t>
      </w:r>
    </w:p>
    <w:p w14:paraId="0E5332FF" w14:textId="77777777" w:rsidR="005D55C2" w:rsidRPr="00C361DD" w:rsidRDefault="005D55C2" w:rsidP="002D49EC">
      <w:pPr>
        <w:pStyle w:val="ListParagraph"/>
        <w:ind w:left="851" w:hanging="709"/>
        <w:jc w:val="both"/>
        <w:rPr>
          <w:rFonts w:ascii="Bookman Old Style" w:eastAsia="Calibri" w:hAnsi="Bookman Old Style" w:cs="Arial"/>
          <w:bCs/>
          <w:sz w:val="24"/>
          <w:szCs w:val="24"/>
        </w:rPr>
      </w:pPr>
    </w:p>
    <w:p w14:paraId="28D826B2" w14:textId="120C7360" w:rsidR="005D55C2" w:rsidRPr="00232F61" w:rsidRDefault="005D55C2" w:rsidP="00887766">
      <w:pPr>
        <w:pStyle w:val="ListParagraph"/>
        <w:numPr>
          <w:ilvl w:val="1"/>
          <w:numId w:val="12"/>
        </w:numPr>
        <w:ind w:left="567" w:hanging="567"/>
        <w:jc w:val="both"/>
        <w:rPr>
          <w:rFonts w:ascii="Bookman Old Style" w:eastAsia="Calibri" w:hAnsi="Bookman Old Style" w:cs="Arial"/>
          <w:b/>
          <w:sz w:val="24"/>
          <w:szCs w:val="24"/>
        </w:rPr>
      </w:pPr>
      <w:bookmarkStart w:id="13" w:name="_Hlk85037590"/>
      <w:r>
        <w:rPr>
          <w:rFonts w:ascii="Bookman Old Style" w:hAnsi="Bookman Old Style"/>
          <w:b/>
          <w:sz w:val="24"/>
          <w:szCs w:val="24"/>
        </w:rPr>
        <w:t xml:space="preserve">Demonstração do desempenho financeiro referente ao exercício financeiro findo em 31 de Março de 2022 </w:t>
      </w:r>
    </w:p>
    <w:bookmarkEnd w:id="13"/>
    <w:p w14:paraId="07514E23" w14:textId="77777777" w:rsidR="005D55C2" w:rsidRPr="00232F61" w:rsidRDefault="005D55C2" w:rsidP="00E9732A">
      <w:pPr>
        <w:pStyle w:val="ListParagraph"/>
        <w:ind w:firstLine="0"/>
        <w:jc w:val="both"/>
        <w:rPr>
          <w:rFonts w:ascii="Bookman Old Style" w:eastAsia="Calibri" w:hAnsi="Bookman Old Style" w:cs="Arial"/>
          <w:bCs/>
          <w:sz w:val="24"/>
          <w:szCs w:val="24"/>
        </w:rPr>
      </w:pPr>
      <w:r>
        <w:rPr>
          <w:rFonts w:ascii="Bookman Old Style" w:hAnsi="Bookman Old Style"/>
          <w:bCs/>
          <w:sz w:val="24"/>
          <w:szCs w:val="24"/>
        </w:rPr>
        <w:tab/>
      </w:r>
    </w:p>
    <w:p w14:paraId="552F5587" w14:textId="0BCD207B" w:rsidR="005D55C2" w:rsidRPr="00232F61" w:rsidRDefault="005D55C2" w:rsidP="00887766">
      <w:pPr>
        <w:pStyle w:val="ListParagraph"/>
        <w:ind w:left="567" w:hanging="11"/>
        <w:jc w:val="both"/>
        <w:rPr>
          <w:rFonts w:ascii="Bookman Old Style" w:eastAsia="Calibri" w:hAnsi="Bookman Old Style" w:cs="Arial"/>
          <w:bCs/>
          <w:sz w:val="24"/>
          <w:szCs w:val="24"/>
        </w:rPr>
      </w:pPr>
      <w:r>
        <w:rPr>
          <w:rFonts w:ascii="Bookman Old Style" w:hAnsi="Bookman Old Style"/>
          <w:bCs/>
          <w:sz w:val="24"/>
          <w:szCs w:val="24"/>
        </w:rPr>
        <w:t xml:space="preserve">Importa </w:t>
      </w:r>
      <w:r w:rsidR="00A619B8">
        <w:rPr>
          <w:rFonts w:ascii="Bookman Old Style" w:hAnsi="Bookman Old Style"/>
          <w:bCs/>
          <w:sz w:val="24"/>
          <w:szCs w:val="24"/>
        </w:rPr>
        <w:t>registar</w:t>
      </w:r>
      <w:r>
        <w:rPr>
          <w:rFonts w:ascii="Bookman Old Style" w:hAnsi="Bookman Old Style"/>
          <w:bCs/>
          <w:sz w:val="24"/>
          <w:szCs w:val="24"/>
        </w:rPr>
        <w:t xml:space="preserve"> o seguinte:</w:t>
      </w:r>
    </w:p>
    <w:p w14:paraId="13F0FA75" w14:textId="77777777" w:rsidR="005D55C2" w:rsidRPr="00232F61" w:rsidRDefault="005D55C2" w:rsidP="00E9732A">
      <w:pPr>
        <w:pStyle w:val="ListParagraph"/>
        <w:ind w:firstLine="0"/>
        <w:jc w:val="both"/>
        <w:rPr>
          <w:rFonts w:ascii="Bookman Old Style" w:eastAsia="Calibri" w:hAnsi="Bookman Old Style" w:cs="Arial"/>
          <w:bCs/>
          <w:sz w:val="24"/>
          <w:szCs w:val="24"/>
        </w:rPr>
      </w:pPr>
    </w:p>
    <w:p w14:paraId="21C855CE" w14:textId="2830BB2C" w:rsidR="006E3456" w:rsidRPr="00232F61" w:rsidRDefault="005D55C2" w:rsidP="00887766">
      <w:pPr>
        <w:pStyle w:val="ListParagraph"/>
        <w:numPr>
          <w:ilvl w:val="2"/>
          <w:numId w:val="12"/>
        </w:numPr>
        <w:ind w:left="709" w:hanging="709"/>
        <w:jc w:val="both"/>
        <w:rPr>
          <w:rFonts w:ascii="Bookman Old Style" w:eastAsia="Calibri" w:hAnsi="Bookman Old Style" w:cs="Arial"/>
          <w:bCs/>
          <w:sz w:val="24"/>
          <w:szCs w:val="24"/>
        </w:rPr>
      </w:pPr>
      <w:r>
        <w:rPr>
          <w:rFonts w:ascii="Bookman Old Style" w:hAnsi="Bookman Old Style"/>
          <w:bCs/>
          <w:sz w:val="24"/>
          <w:szCs w:val="24"/>
        </w:rPr>
        <w:t xml:space="preserve">As demonstrações financeiras auditadas registadas em 31 de Março de 2022 apresentam receitas totais no valor de N$38.883.123. Deste montante, N$21.478.050 (55%) provieram das quotas anuais obrigatórias pagas pelos parlamentos membros, enquanto N$17.405.073 (45%) foram concedidos por parceiros de cooperação. Foi arrecadado um lucro operacional adicional no valor de N$338.882 a partir das Receitas de Administração e de Consultoria cobradas aos parceiros. O rendimento de investimento totalizou N$162.477, ao passo que o </w:t>
      </w:r>
      <w:bookmarkStart w:id="14" w:name="_Hlk117072272"/>
      <w:r>
        <w:rPr>
          <w:rFonts w:ascii="Bookman Old Style" w:hAnsi="Bookman Old Style"/>
          <w:bCs/>
          <w:sz w:val="24"/>
          <w:szCs w:val="24"/>
        </w:rPr>
        <w:t>ganho na alienação de activos se cifrou em N$581.162</w:t>
      </w:r>
      <w:bookmarkEnd w:id="14"/>
      <w:r>
        <w:rPr>
          <w:rFonts w:ascii="Bookman Old Style" w:hAnsi="Bookman Old Style"/>
          <w:bCs/>
          <w:sz w:val="24"/>
          <w:szCs w:val="24"/>
        </w:rPr>
        <w:t>. Com isto, as receitas totais</w:t>
      </w:r>
      <w:r w:rsidR="00A619B8">
        <w:rPr>
          <w:rFonts w:ascii="Bookman Old Style" w:hAnsi="Bookman Old Style"/>
          <w:bCs/>
          <w:sz w:val="24"/>
          <w:szCs w:val="24"/>
        </w:rPr>
        <w:t>,</w:t>
      </w:r>
      <w:r>
        <w:rPr>
          <w:rFonts w:ascii="Bookman Old Style" w:hAnsi="Bookman Old Style"/>
          <w:bCs/>
          <w:sz w:val="24"/>
          <w:szCs w:val="24"/>
        </w:rPr>
        <w:t xml:space="preserve"> mais o rendimento</w:t>
      </w:r>
      <w:r w:rsidR="00A619B8">
        <w:rPr>
          <w:rFonts w:ascii="Bookman Old Style" w:hAnsi="Bookman Old Style"/>
          <w:bCs/>
          <w:sz w:val="24"/>
          <w:szCs w:val="24"/>
        </w:rPr>
        <w:t>,</w:t>
      </w:r>
      <w:r>
        <w:rPr>
          <w:rFonts w:ascii="Bookman Old Style" w:hAnsi="Bookman Old Style"/>
          <w:bCs/>
          <w:sz w:val="24"/>
          <w:szCs w:val="24"/>
        </w:rPr>
        <w:t xml:space="preserve"> elevaram-se a N$39.965.644. </w:t>
      </w:r>
    </w:p>
    <w:p w14:paraId="4E89DD59" w14:textId="77777777" w:rsidR="006E3456" w:rsidRPr="00232F61" w:rsidRDefault="006E3456" w:rsidP="002D49EC">
      <w:pPr>
        <w:pStyle w:val="ListParagraph"/>
        <w:ind w:left="567" w:hanging="567"/>
        <w:jc w:val="both"/>
        <w:rPr>
          <w:rFonts w:ascii="Bookman Old Style" w:eastAsia="Calibri" w:hAnsi="Bookman Old Style" w:cs="Arial"/>
          <w:bCs/>
          <w:sz w:val="24"/>
          <w:szCs w:val="24"/>
        </w:rPr>
      </w:pPr>
    </w:p>
    <w:p w14:paraId="266A146D" w14:textId="77777777" w:rsidR="000346A0" w:rsidRPr="00232F61" w:rsidRDefault="000346A0" w:rsidP="00887766">
      <w:pPr>
        <w:pStyle w:val="ListParagraph"/>
        <w:numPr>
          <w:ilvl w:val="2"/>
          <w:numId w:val="12"/>
        </w:numPr>
        <w:ind w:left="709" w:hanging="709"/>
        <w:jc w:val="both"/>
        <w:rPr>
          <w:rFonts w:ascii="Bookman Old Style" w:eastAsia="Calibri" w:hAnsi="Bookman Old Style" w:cs="Arial"/>
          <w:bCs/>
          <w:sz w:val="24"/>
          <w:szCs w:val="24"/>
        </w:rPr>
      </w:pPr>
      <w:r>
        <w:rPr>
          <w:rFonts w:ascii="Bookman Old Style" w:hAnsi="Bookman Old Style"/>
          <w:bCs/>
          <w:sz w:val="24"/>
          <w:szCs w:val="24"/>
        </w:rPr>
        <w:t>Na demonstração do desempenho financeiro, as perdas incursas em termos de divisas no valor de N$409.411 são compensadas pelo ganho na alienação de activos no valor de N$ 581.162, resultando em ganhos operacionais líquidos de N$171.751.</w:t>
      </w:r>
    </w:p>
    <w:p w14:paraId="4E9E57F0" w14:textId="77777777" w:rsidR="000346A0" w:rsidRPr="00232F61" w:rsidRDefault="000346A0" w:rsidP="002D49EC">
      <w:pPr>
        <w:pStyle w:val="ListParagraph"/>
        <w:ind w:left="567" w:hanging="567"/>
        <w:rPr>
          <w:rFonts w:ascii="Bookman Old Style" w:eastAsia="Calibri" w:hAnsi="Bookman Old Style" w:cs="Arial"/>
          <w:bCs/>
          <w:sz w:val="24"/>
          <w:szCs w:val="24"/>
        </w:rPr>
      </w:pPr>
    </w:p>
    <w:p w14:paraId="3BEBCA19" w14:textId="6F1CFE7A" w:rsidR="006E3456" w:rsidRPr="00232F61" w:rsidRDefault="005D55C2" w:rsidP="00887766">
      <w:pPr>
        <w:pStyle w:val="ListParagraph"/>
        <w:numPr>
          <w:ilvl w:val="2"/>
          <w:numId w:val="12"/>
        </w:numPr>
        <w:ind w:left="709" w:hanging="709"/>
        <w:jc w:val="both"/>
        <w:rPr>
          <w:rFonts w:ascii="Bookman Old Style" w:eastAsia="Calibri" w:hAnsi="Bookman Old Style" w:cs="Arial"/>
          <w:bCs/>
          <w:sz w:val="24"/>
          <w:szCs w:val="24"/>
        </w:rPr>
      </w:pPr>
      <w:r>
        <w:rPr>
          <w:rFonts w:ascii="Bookman Old Style" w:hAnsi="Bookman Old Style"/>
          <w:bCs/>
          <w:sz w:val="24"/>
          <w:szCs w:val="24"/>
        </w:rPr>
        <w:t xml:space="preserve">As despesas operacionais totais para o exercício foram de N$35.747.142, em comparação com N$23.959.094 no exercício financeiro anterior. </w:t>
      </w:r>
      <w:r w:rsidR="00A619B8">
        <w:rPr>
          <w:rFonts w:ascii="Bookman Old Style" w:hAnsi="Bookman Old Style"/>
          <w:bCs/>
          <w:sz w:val="24"/>
          <w:szCs w:val="24"/>
        </w:rPr>
        <w:t>Este</w:t>
      </w:r>
      <w:r>
        <w:rPr>
          <w:rFonts w:ascii="Bookman Old Style" w:hAnsi="Bookman Old Style"/>
          <w:bCs/>
          <w:sz w:val="24"/>
          <w:szCs w:val="24"/>
        </w:rPr>
        <w:t xml:space="preserve"> aumento deveu-se ao aumento das despesas </w:t>
      </w:r>
      <w:r>
        <w:rPr>
          <w:rFonts w:ascii="Bookman Old Style" w:hAnsi="Bookman Old Style"/>
          <w:bCs/>
          <w:sz w:val="24"/>
          <w:szCs w:val="24"/>
        </w:rPr>
        <w:lastRenderedPageBreak/>
        <w:t>do Projecto de SDSR</w:t>
      </w:r>
      <w:r w:rsidR="00A619B8">
        <w:rPr>
          <w:rFonts w:ascii="Bookman Old Style" w:hAnsi="Bookman Old Style"/>
          <w:bCs/>
          <w:sz w:val="24"/>
          <w:szCs w:val="24"/>
        </w:rPr>
        <w:t>,</w:t>
      </w:r>
      <w:r>
        <w:rPr>
          <w:rFonts w:ascii="Bookman Old Style" w:hAnsi="Bookman Old Style"/>
          <w:bCs/>
          <w:sz w:val="24"/>
          <w:szCs w:val="24"/>
        </w:rPr>
        <w:t xml:space="preserve"> devido a um aumento na implementação de actividades.</w:t>
      </w:r>
    </w:p>
    <w:p w14:paraId="7E69416D" w14:textId="1CA35CDB" w:rsidR="00EE422A" w:rsidRPr="00232F61" w:rsidRDefault="008F4B75" w:rsidP="002D49EC">
      <w:pPr>
        <w:ind w:left="567" w:hanging="567"/>
        <w:jc w:val="both"/>
        <w:rPr>
          <w:rFonts w:ascii="Bookman Old Style" w:eastAsia="Calibri" w:hAnsi="Bookman Old Style" w:cs="Arial"/>
          <w:bCs/>
          <w:sz w:val="18"/>
          <w:szCs w:val="18"/>
        </w:rPr>
      </w:pPr>
      <w:r>
        <w:rPr>
          <w:rFonts w:ascii="Bookman Old Style" w:hAnsi="Bookman Old Style"/>
          <w:bCs/>
          <w:sz w:val="18"/>
          <w:szCs w:val="18"/>
        </w:rPr>
        <w:tab/>
      </w:r>
      <w:r>
        <w:rPr>
          <w:rFonts w:ascii="Bookman Old Style" w:hAnsi="Bookman Old Style"/>
          <w:bCs/>
          <w:sz w:val="18"/>
          <w:szCs w:val="18"/>
        </w:rPr>
        <w:tab/>
      </w:r>
      <w:r>
        <w:rPr>
          <w:rFonts w:ascii="Bookman Old Style" w:hAnsi="Bookman Old Style"/>
          <w:bCs/>
          <w:sz w:val="18"/>
          <w:szCs w:val="18"/>
        </w:rPr>
        <w:tab/>
      </w:r>
      <w:r>
        <w:rPr>
          <w:rFonts w:ascii="Bookman Old Style" w:hAnsi="Bookman Old Style"/>
          <w:bCs/>
          <w:sz w:val="18"/>
          <w:szCs w:val="18"/>
        </w:rPr>
        <w:tab/>
      </w:r>
    </w:p>
    <w:p w14:paraId="34B87F92" w14:textId="138E7E74" w:rsidR="006E3456" w:rsidRPr="00232F61" w:rsidRDefault="007E639A" w:rsidP="00887766">
      <w:pPr>
        <w:pStyle w:val="ListParagraph"/>
        <w:numPr>
          <w:ilvl w:val="2"/>
          <w:numId w:val="12"/>
        </w:numPr>
        <w:ind w:left="709" w:hanging="709"/>
        <w:jc w:val="both"/>
        <w:rPr>
          <w:rFonts w:ascii="Bookman Old Style" w:eastAsia="Calibri" w:hAnsi="Bookman Old Style" w:cs="Arial"/>
          <w:bCs/>
          <w:sz w:val="24"/>
          <w:szCs w:val="24"/>
        </w:rPr>
      </w:pPr>
      <w:r>
        <w:rPr>
          <w:rFonts w:ascii="Bookman Old Style" w:hAnsi="Bookman Old Style"/>
          <w:bCs/>
          <w:sz w:val="24"/>
          <w:szCs w:val="24"/>
        </w:rPr>
        <w:t xml:space="preserve">O excedente operacional foi de N$3.646.614, enquanto o excedente abrangente total do ano foi de N$ 3.364.109, depois de adicionar o rendimento de investimento (N$162.477) e subtrair os custos financeiros (N$444.982). </w:t>
      </w:r>
    </w:p>
    <w:p w14:paraId="34942B0A" w14:textId="7B7AD49D" w:rsidR="000000F2" w:rsidRDefault="000000F2" w:rsidP="00EA5739">
      <w:pPr>
        <w:ind w:firstLine="0"/>
        <w:jc w:val="both"/>
        <w:rPr>
          <w:rFonts w:ascii="Bookman Old Style" w:eastAsia="Calibri" w:hAnsi="Bookman Old Style" w:cs="Arial"/>
          <w:bCs/>
          <w:sz w:val="24"/>
          <w:szCs w:val="24"/>
        </w:rPr>
      </w:pPr>
    </w:p>
    <w:p w14:paraId="23B93613" w14:textId="77777777" w:rsidR="005B3A6A" w:rsidRPr="005921B0" w:rsidRDefault="005B3A6A" w:rsidP="005921B0">
      <w:pPr>
        <w:ind w:firstLine="0"/>
        <w:jc w:val="both"/>
        <w:rPr>
          <w:rFonts w:ascii="Bookman Old Style" w:eastAsia="Calibri" w:hAnsi="Bookman Old Style" w:cs="Arial"/>
          <w:b/>
          <w:sz w:val="24"/>
          <w:szCs w:val="24"/>
        </w:rPr>
      </w:pPr>
      <w:bookmarkStart w:id="15" w:name="_Hlk117096536"/>
    </w:p>
    <w:p w14:paraId="5E514B41" w14:textId="6C463B7A" w:rsidR="005D55C2" w:rsidRPr="00887766" w:rsidRDefault="002C2068" w:rsidP="00887766">
      <w:pPr>
        <w:pStyle w:val="ListParagraph"/>
        <w:numPr>
          <w:ilvl w:val="1"/>
          <w:numId w:val="12"/>
        </w:numPr>
        <w:ind w:left="567" w:hanging="567"/>
        <w:jc w:val="both"/>
        <w:rPr>
          <w:rFonts w:ascii="Bookman Old Style" w:eastAsia="Calibri" w:hAnsi="Bookman Old Style" w:cs="Arial"/>
          <w:b/>
          <w:sz w:val="24"/>
          <w:szCs w:val="24"/>
        </w:rPr>
      </w:pPr>
      <w:r>
        <w:rPr>
          <w:rFonts w:ascii="Bookman Old Style" w:hAnsi="Bookman Old Style"/>
          <w:b/>
          <w:sz w:val="24"/>
          <w:szCs w:val="24"/>
        </w:rPr>
        <w:t xml:space="preserve">RECOMENDAÇÕES SUBMETIDAS À CONSIDERAÇÃO DA </w:t>
      </w:r>
      <w:r w:rsidR="005921B0" w:rsidRPr="00887766">
        <w:rPr>
          <w:rFonts w:ascii="Bookman Old Style" w:hAnsi="Bookman Old Style"/>
          <w:b/>
          <w:sz w:val="24"/>
          <w:szCs w:val="24"/>
        </w:rPr>
        <w:t>ASSEMBLEIA PLENÁRIA</w:t>
      </w:r>
    </w:p>
    <w:p w14:paraId="6FC0D939" w14:textId="77777777" w:rsidR="005D55C2" w:rsidRPr="00887766" w:rsidRDefault="005D55C2" w:rsidP="00E9732A">
      <w:pPr>
        <w:pStyle w:val="ListParagraph"/>
        <w:jc w:val="both"/>
        <w:rPr>
          <w:rFonts w:ascii="Bookman Old Style" w:eastAsia="Calibri" w:hAnsi="Bookman Old Style" w:cs="Arial"/>
          <w:bCs/>
          <w:sz w:val="24"/>
          <w:szCs w:val="24"/>
        </w:rPr>
      </w:pPr>
    </w:p>
    <w:p w14:paraId="545A4D07" w14:textId="6FCAE316" w:rsidR="005D55C2" w:rsidRDefault="005D55C2" w:rsidP="00887766">
      <w:pPr>
        <w:pStyle w:val="ListParagraph"/>
        <w:numPr>
          <w:ilvl w:val="2"/>
          <w:numId w:val="12"/>
        </w:numPr>
        <w:ind w:left="851" w:hanging="851"/>
        <w:jc w:val="both"/>
        <w:rPr>
          <w:rFonts w:ascii="Bookman Old Style" w:eastAsia="Calibri" w:hAnsi="Bookman Old Style" w:cs="Arial"/>
          <w:b/>
          <w:sz w:val="24"/>
          <w:szCs w:val="24"/>
        </w:rPr>
      </w:pPr>
      <w:r w:rsidRPr="00887766">
        <w:rPr>
          <w:rFonts w:ascii="Bookman Old Style" w:hAnsi="Bookman Old Style"/>
          <w:b/>
          <w:sz w:val="24"/>
          <w:szCs w:val="24"/>
        </w:rPr>
        <w:t xml:space="preserve">A </w:t>
      </w:r>
      <w:r w:rsidR="005921B0" w:rsidRPr="00887766">
        <w:rPr>
          <w:rFonts w:ascii="Bookman Old Style" w:hAnsi="Bookman Old Style"/>
          <w:b/>
          <w:sz w:val="24"/>
          <w:szCs w:val="24"/>
        </w:rPr>
        <w:t>Assembleia Plenária</w:t>
      </w:r>
      <w:r>
        <w:rPr>
          <w:rFonts w:ascii="Bookman Old Style" w:hAnsi="Bookman Old Style"/>
          <w:b/>
          <w:sz w:val="24"/>
          <w:szCs w:val="24"/>
        </w:rPr>
        <w:t xml:space="preserve"> é convidada a apreciar e </w:t>
      </w:r>
      <w:r w:rsidR="005921B0">
        <w:rPr>
          <w:rFonts w:ascii="Bookman Old Style" w:hAnsi="Bookman Old Style"/>
          <w:b/>
          <w:sz w:val="24"/>
          <w:szCs w:val="24"/>
        </w:rPr>
        <w:t>aprovar</w:t>
      </w:r>
      <w:r>
        <w:rPr>
          <w:rFonts w:ascii="Bookman Old Style" w:hAnsi="Bookman Old Style"/>
          <w:b/>
          <w:sz w:val="24"/>
          <w:szCs w:val="24"/>
        </w:rPr>
        <w:t xml:space="preserve"> as demonstrações financeiras auditadas do exercício findo em 31 de Março de 2022. </w:t>
      </w:r>
    </w:p>
    <w:p w14:paraId="2978C4EC" w14:textId="77777777" w:rsidR="001335DA" w:rsidRPr="00887766" w:rsidRDefault="001335DA" w:rsidP="00887766">
      <w:pPr>
        <w:ind w:firstLine="0"/>
        <w:jc w:val="both"/>
        <w:rPr>
          <w:rFonts w:ascii="Bookman Old Style" w:eastAsia="Calibri" w:hAnsi="Bookman Old Style" w:cs="Arial"/>
          <w:b/>
          <w:sz w:val="24"/>
          <w:szCs w:val="24"/>
        </w:rPr>
      </w:pPr>
    </w:p>
    <w:p w14:paraId="06C8C0E5" w14:textId="5576AAFE" w:rsidR="00874E2E" w:rsidRPr="006F7F0F" w:rsidRDefault="00874E2E" w:rsidP="006F7F0F">
      <w:pPr>
        <w:pStyle w:val="ListParagraph"/>
        <w:numPr>
          <w:ilvl w:val="0"/>
          <w:numId w:val="42"/>
        </w:numPr>
        <w:jc w:val="both"/>
        <w:rPr>
          <w:rFonts w:ascii="Bookman Old Style" w:eastAsia="Calibri" w:hAnsi="Bookman Old Style" w:cs="Arial"/>
          <w:b/>
          <w:sz w:val="24"/>
          <w:szCs w:val="24"/>
        </w:rPr>
      </w:pPr>
      <w:bookmarkStart w:id="16" w:name="_Hlk117092226"/>
      <w:bookmarkEnd w:id="15"/>
      <w:r>
        <w:rPr>
          <w:rFonts w:ascii="Bookman Old Style" w:hAnsi="Bookman Old Style"/>
          <w:b/>
          <w:sz w:val="24"/>
          <w:szCs w:val="24"/>
        </w:rPr>
        <w:t xml:space="preserve">Proposta de </w:t>
      </w:r>
      <w:bookmarkStart w:id="17" w:name="_Hlk117096608"/>
      <w:r w:rsidR="00A619B8">
        <w:rPr>
          <w:rFonts w:ascii="Bookman Old Style" w:hAnsi="Bookman Old Style"/>
          <w:b/>
          <w:sz w:val="24"/>
          <w:szCs w:val="24"/>
        </w:rPr>
        <w:t>descontinuação</w:t>
      </w:r>
      <w:r>
        <w:rPr>
          <w:rFonts w:ascii="Bookman Old Style" w:hAnsi="Bookman Old Style"/>
          <w:b/>
          <w:sz w:val="24"/>
          <w:szCs w:val="24"/>
        </w:rPr>
        <w:t xml:space="preserve"> da </w:t>
      </w:r>
      <w:r w:rsidR="00A619B8">
        <w:rPr>
          <w:rFonts w:ascii="Bookman Old Style" w:hAnsi="Bookman Old Style"/>
          <w:b/>
          <w:sz w:val="24"/>
          <w:szCs w:val="24"/>
        </w:rPr>
        <w:t>compila</w:t>
      </w:r>
      <w:r>
        <w:rPr>
          <w:rFonts w:ascii="Bookman Old Style" w:hAnsi="Bookman Old Style"/>
          <w:b/>
          <w:sz w:val="24"/>
          <w:szCs w:val="24"/>
        </w:rPr>
        <w:t xml:space="preserve">ção das demonstrações financeiras dos fundos principais do FP-SADC </w:t>
      </w:r>
      <w:r w:rsidR="00A619B8">
        <w:rPr>
          <w:rFonts w:ascii="Bookman Old Style" w:hAnsi="Bookman Old Style"/>
          <w:b/>
          <w:sz w:val="24"/>
          <w:szCs w:val="24"/>
        </w:rPr>
        <w:t xml:space="preserve">juntamente </w:t>
      </w:r>
      <w:r>
        <w:rPr>
          <w:rFonts w:ascii="Bookman Old Style" w:hAnsi="Bookman Old Style"/>
          <w:b/>
          <w:sz w:val="24"/>
          <w:szCs w:val="24"/>
        </w:rPr>
        <w:t>com as demonstrações financeiras dos fundos concedidos pelos doadores</w:t>
      </w:r>
      <w:bookmarkEnd w:id="16"/>
      <w:bookmarkEnd w:id="17"/>
    </w:p>
    <w:p w14:paraId="5598FF1F" w14:textId="77777777" w:rsidR="006F7F0F" w:rsidRDefault="006F7F0F" w:rsidP="00874E2E">
      <w:pPr>
        <w:ind w:firstLine="0"/>
        <w:jc w:val="both"/>
        <w:rPr>
          <w:rFonts w:ascii="Bookman Old Style" w:eastAsia="Calibri" w:hAnsi="Bookman Old Style" w:cs="Arial"/>
          <w:bCs/>
          <w:color w:val="FF0000"/>
          <w:sz w:val="24"/>
          <w:szCs w:val="24"/>
        </w:rPr>
      </w:pPr>
    </w:p>
    <w:p w14:paraId="2318EF92" w14:textId="77777777" w:rsidR="006F7F0F" w:rsidRPr="001335DA" w:rsidRDefault="006F7F0F" w:rsidP="00887766">
      <w:pPr>
        <w:pStyle w:val="ListParagraph"/>
        <w:numPr>
          <w:ilvl w:val="1"/>
          <w:numId w:val="42"/>
        </w:numPr>
        <w:ind w:left="709" w:hanging="709"/>
        <w:jc w:val="both"/>
        <w:rPr>
          <w:rFonts w:ascii="Bookman Old Style" w:eastAsia="Calibri" w:hAnsi="Bookman Old Style" w:cs="Arial"/>
          <w:bCs/>
          <w:sz w:val="24"/>
          <w:szCs w:val="24"/>
        </w:rPr>
      </w:pPr>
      <w:r>
        <w:rPr>
          <w:rFonts w:ascii="Bookman Old Style" w:hAnsi="Bookman Old Style"/>
          <w:bCs/>
          <w:sz w:val="24"/>
          <w:szCs w:val="24"/>
        </w:rPr>
        <w:t>Contexto</w:t>
      </w:r>
    </w:p>
    <w:p w14:paraId="2FBB33A1" w14:textId="7426FA72" w:rsidR="000523C9" w:rsidRDefault="006F7F0F" w:rsidP="00887766">
      <w:pPr>
        <w:pStyle w:val="ListParagraph"/>
        <w:numPr>
          <w:ilvl w:val="2"/>
          <w:numId w:val="42"/>
        </w:numPr>
        <w:ind w:left="709" w:hanging="709"/>
        <w:jc w:val="both"/>
        <w:rPr>
          <w:rFonts w:ascii="Bookman Old Style" w:eastAsia="Calibri" w:hAnsi="Bookman Old Style" w:cs="Arial"/>
          <w:bCs/>
          <w:sz w:val="24"/>
          <w:szCs w:val="24"/>
        </w:rPr>
      </w:pPr>
      <w:r>
        <w:rPr>
          <w:rFonts w:ascii="Bookman Old Style" w:hAnsi="Bookman Old Style"/>
          <w:bCs/>
          <w:sz w:val="24"/>
          <w:szCs w:val="24"/>
        </w:rPr>
        <w:t xml:space="preserve">A </w:t>
      </w:r>
      <w:r w:rsidR="005921B0" w:rsidRPr="00887766">
        <w:rPr>
          <w:rFonts w:ascii="Bookman Old Style" w:hAnsi="Bookman Old Style"/>
          <w:bCs/>
          <w:sz w:val="24"/>
          <w:szCs w:val="24"/>
        </w:rPr>
        <w:t>Assembleia Plenária</w:t>
      </w:r>
      <w:r w:rsidRPr="00887766">
        <w:rPr>
          <w:rFonts w:ascii="Bookman Old Style" w:hAnsi="Bookman Old Style"/>
          <w:bCs/>
          <w:sz w:val="24"/>
          <w:szCs w:val="24"/>
        </w:rPr>
        <w:t xml:space="preserve"> é</w:t>
      </w:r>
      <w:r>
        <w:rPr>
          <w:rFonts w:ascii="Bookman Old Style" w:hAnsi="Bookman Old Style"/>
          <w:bCs/>
          <w:sz w:val="24"/>
          <w:szCs w:val="24"/>
        </w:rPr>
        <w:t xml:space="preserve"> convidada a apreciar a proposta de descontinuação da </w:t>
      </w:r>
      <w:r w:rsidR="00A619B8">
        <w:rPr>
          <w:rFonts w:ascii="Bookman Old Style" w:hAnsi="Bookman Old Style"/>
          <w:bCs/>
          <w:sz w:val="24"/>
          <w:szCs w:val="24"/>
        </w:rPr>
        <w:t>compilação</w:t>
      </w:r>
      <w:r>
        <w:rPr>
          <w:rFonts w:ascii="Bookman Old Style" w:hAnsi="Bookman Old Style"/>
          <w:bCs/>
          <w:sz w:val="24"/>
          <w:szCs w:val="24"/>
        </w:rPr>
        <w:t xml:space="preserve"> das principais demonstrações financeiras dos fundos principais do FP-SADC com as demonstrações financeiras dos fundos concedidos por doadores. Informa-se à Comissão Executiva que a </w:t>
      </w:r>
      <w:r w:rsidR="00A619B8">
        <w:rPr>
          <w:rFonts w:ascii="Bookman Old Style" w:hAnsi="Bookman Old Style"/>
          <w:bCs/>
          <w:sz w:val="24"/>
          <w:szCs w:val="24"/>
        </w:rPr>
        <w:t>compilação</w:t>
      </w:r>
      <w:r>
        <w:rPr>
          <w:rFonts w:ascii="Bookman Old Style" w:hAnsi="Bookman Old Style"/>
          <w:bCs/>
          <w:sz w:val="24"/>
          <w:szCs w:val="24"/>
        </w:rPr>
        <w:t xml:space="preserve"> das demonstrações financeiras foi uma resolução da Comissão Executiva tomada em Julho de 2012 (durante a 30.ª Assembleia Plenária realizada em Maputo, Moçambique) e não assenta na prática contabilística geralmente aceite. A </w:t>
      </w:r>
      <w:r w:rsidR="00A619B8">
        <w:rPr>
          <w:rFonts w:ascii="Bookman Old Style" w:hAnsi="Bookman Old Style"/>
          <w:bCs/>
          <w:sz w:val="24"/>
          <w:szCs w:val="24"/>
        </w:rPr>
        <w:t>compilação</w:t>
      </w:r>
      <w:r>
        <w:rPr>
          <w:rFonts w:ascii="Bookman Old Style" w:hAnsi="Bookman Old Style"/>
          <w:bCs/>
          <w:sz w:val="24"/>
          <w:szCs w:val="24"/>
        </w:rPr>
        <w:t xml:space="preserve"> destinava-se a resolver a situação de falta de informação e </w:t>
      </w:r>
      <w:r w:rsidR="00A619B8">
        <w:rPr>
          <w:rFonts w:ascii="Bookman Old Style" w:hAnsi="Bookman Old Style"/>
          <w:bCs/>
          <w:sz w:val="24"/>
          <w:szCs w:val="24"/>
        </w:rPr>
        <w:t xml:space="preserve">de </w:t>
      </w:r>
      <w:r>
        <w:rPr>
          <w:rFonts w:ascii="Bookman Old Style" w:hAnsi="Bookman Old Style"/>
          <w:bCs/>
          <w:sz w:val="24"/>
          <w:szCs w:val="24"/>
        </w:rPr>
        <w:t>relatórios sobre as subvenções e os fundos dos projectos naquela altura. A referida situação já foi saneada uma vez que o Relatório do Tesoureiro passou a ser mais abrangente, incluindo relatórios financeiros para o financiamento concedido por doadores e outros financiamentos externos.</w:t>
      </w:r>
    </w:p>
    <w:p w14:paraId="492ADAB1" w14:textId="77777777" w:rsidR="0015708F" w:rsidRPr="001335DA" w:rsidRDefault="0015708F" w:rsidP="0015708F">
      <w:pPr>
        <w:pStyle w:val="ListParagraph"/>
        <w:ind w:left="1418" w:firstLine="0"/>
        <w:jc w:val="both"/>
        <w:rPr>
          <w:rFonts w:ascii="Bookman Old Style" w:eastAsia="Calibri" w:hAnsi="Bookman Old Style" w:cs="Arial"/>
          <w:bCs/>
          <w:sz w:val="24"/>
          <w:szCs w:val="24"/>
        </w:rPr>
      </w:pPr>
    </w:p>
    <w:p w14:paraId="3BE59C08" w14:textId="4ACD46F7" w:rsidR="002E2F0E" w:rsidRPr="001335DA" w:rsidRDefault="00415A76" w:rsidP="00887766">
      <w:pPr>
        <w:pStyle w:val="ListParagraph"/>
        <w:numPr>
          <w:ilvl w:val="2"/>
          <w:numId w:val="42"/>
        </w:numPr>
        <w:ind w:left="709" w:hanging="709"/>
        <w:jc w:val="both"/>
        <w:rPr>
          <w:rFonts w:ascii="Bookman Old Style" w:eastAsia="Calibri" w:hAnsi="Bookman Old Style" w:cs="Arial"/>
          <w:bCs/>
          <w:sz w:val="24"/>
          <w:szCs w:val="24"/>
        </w:rPr>
      </w:pPr>
      <w:r>
        <w:rPr>
          <w:rFonts w:ascii="Bookman Old Style" w:hAnsi="Bookman Old Style"/>
          <w:sz w:val="24"/>
          <w:szCs w:val="24"/>
        </w:rPr>
        <w:t>As demonstrações financeiras consolidadas são demonstrações financeiras que apresentam os activos, os passivos, as despesas e os fluxos de caixa de uma instituição-mãe e suas subsidiárias como sendo de uma entidade económica única. As demonstrações financeiras consolidadas são um requisito quando uma entidade controla uma ou mais entidades, geralmente com um interesse de controlo de pelo menos 50%, incluindo um interesse financeiro de controlo. Por exemplo, embora o Projecto de SDSR seja propriedade do FP-SADC sob o controlo d</w:t>
      </w:r>
      <w:r w:rsidR="00A619B8">
        <w:rPr>
          <w:rFonts w:ascii="Bookman Old Style" w:hAnsi="Bookman Old Style"/>
          <w:sz w:val="24"/>
          <w:szCs w:val="24"/>
        </w:rPr>
        <w:t>est</w:t>
      </w:r>
      <w:r>
        <w:rPr>
          <w:rFonts w:ascii="Bookman Old Style" w:hAnsi="Bookman Old Style"/>
          <w:sz w:val="24"/>
          <w:szCs w:val="24"/>
        </w:rPr>
        <w:t>a instituição, mais de 90% do seu financiamento provêm dos suecos, concedido como uma subvenção cujo uso é restrito ao abrigo do Acordo de Subvenção.</w:t>
      </w:r>
    </w:p>
    <w:p w14:paraId="1AA2A442" w14:textId="77777777" w:rsidR="00AB2141" w:rsidRPr="0042019B" w:rsidRDefault="00AB2141" w:rsidP="00AB2141">
      <w:pPr>
        <w:pStyle w:val="ListParagraph"/>
        <w:ind w:left="2160" w:firstLine="0"/>
        <w:jc w:val="both"/>
        <w:rPr>
          <w:rFonts w:ascii="Bookman Old Style" w:eastAsia="Calibri" w:hAnsi="Bookman Old Style" w:cs="Arial"/>
          <w:bCs/>
          <w:sz w:val="24"/>
          <w:szCs w:val="24"/>
        </w:rPr>
      </w:pPr>
    </w:p>
    <w:p w14:paraId="41FD6597" w14:textId="7DAF0ACC" w:rsidR="00874E2E" w:rsidRPr="0042019B" w:rsidRDefault="002E2F0E" w:rsidP="00887766">
      <w:pPr>
        <w:pStyle w:val="ListParagraph"/>
        <w:numPr>
          <w:ilvl w:val="2"/>
          <w:numId w:val="42"/>
        </w:numPr>
        <w:ind w:left="709" w:hanging="709"/>
        <w:jc w:val="both"/>
        <w:rPr>
          <w:rFonts w:ascii="Bookman Old Style" w:eastAsia="Calibri" w:hAnsi="Bookman Old Style" w:cs="Arial"/>
          <w:bCs/>
          <w:sz w:val="24"/>
          <w:szCs w:val="24"/>
        </w:rPr>
      </w:pPr>
      <w:r w:rsidRPr="00887766">
        <w:rPr>
          <w:rFonts w:ascii="Bookman Old Style" w:hAnsi="Bookman Old Style"/>
          <w:bCs/>
          <w:sz w:val="24"/>
          <w:szCs w:val="24"/>
        </w:rPr>
        <w:lastRenderedPageBreak/>
        <w:t xml:space="preserve">Assinala-se à </w:t>
      </w:r>
      <w:r w:rsidR="005921B0" w:rsidRPr="00887766">
        <w:rPr>
          <w:rFonts w:ascii="Bookman Old Style" w:hAnsi="Bookman Old Style"/>
          <w:bCs/>
          <w:sz w:val="24"/>
          <w:szCs w:val="24"/>
        </w:rPr>
        <w:t>Assembleia Plenária</w:t>
      </w:r>
      <w:r w:rsidRPr="00887766">
        <w:rPr>
          <w:rFonts w:ascii="Bookman Old Style" w:hAnsi="Bookman Old Style"/>
          <w:bCs/>
          <w:sz w:val="24"/>
          <w:szCs w:val="24"/>
        </w:rPr>
        <w:t xml:space="preserve"> que as contas do Projecto de SDSR, financiadas pela ASDI sueca</w:t>
      </w:r>
      <w:r>
        <w:rPr>
          <w:rFonts w:ascii="Bookman Old Style" w:hAnsi="Bookman Old Style"/>
          <w:bCs/>
          <w:sz w:val="24"/>
          <w:szCs w:val="24"/>
        </w:rPr>
        <w:t xml:space="preserve"> são elaboradas e auditadas separadamente, de acordo com o acordo do projecto. Contudo, desde  o início do projecto, a situação financeira do </w:t>
      </w:r>
      <w:r w:rsidR="00A619B8">
        <w:rPr>
          <w:rFonts w:ascii="Bookman Old Style" w:hAnsi="Bookman Old Style"/>
          <w:bCs/>
          <w:sz w:val="24"/>
          <w:szCs w:val="24"/>
        </w:rPr>
        <w:t>P</w:t>
      </w:r>
      <w:r>
        <w:rPr>
          <w:rFonts w:ascii="Bookman Old Style" w:hAnsi="Bookman Old Style"/>
          <w:bCs/>
          <w:sz w:val="24"/>
          <w:szCs w:val="24"/>
        </w:rPr>
        <w:t xml:space="preserve">rojecto de SDSR é também inclusa nas demonstrações financeiras do Fórum Parlamentar da SADC. Contudo, foi observado que essa </w:t>
      </w:r>
      <w:r w:rsidR="00A619B8">
        <w:rPr>
          <w:rFonts w:ascii="Bookman Old Style" w:hAnsi="Bookman Old Style"/>
          <w:bCs/>
          <w:sz w:val="24"/>
          <w:szCs w:val="24"/>
        </w:rPr>
        <w:t>compila</w:t>
      </w:r>
      <w:r>
        <w:rPr>
          <w:rFonts w:ascii="Bookman Old Style" w:hAnsi="Bookman Old Style"/>
          <w:bCs/>
          <w:sz w:val="24"/>
          <w:szCs w:val="24"/>
        </w:rPr>
        <w:t xml:space="preserve">ção tende a distorcer a apresentação das demonstrações financeiras do FP-SADC. </w:t>
      </w:r>
    </w:p>
    <w:p w14:paraId="26C2E476" w14:textId="77777777" w:rsidR="00AB2141" w:rsidRPr="0042019B" w:rsidRDefault="00AB2141" w:rsidP="00887766">
      <w:pPr>
        <w:ind w:left="709" w:hanging="709"/>
        <w:jc w:val="both"/>
        <w:rPr>
          <w:rFonts w:ascii="Bookman Old Style" w:eastAsia="Calibri" w:hAnsi="Bookman Old Style" w:cs="Arial"/>
          <w:bCs/>
          <w:sz w:val="24"/>
          <w:szCs w:val="24"/>
        </w:rPr>
      </w:pPr>
    </w:p>
    <w:p w14:paraId="35A2E8C0" w14:textId="3CA2CD4C" w:rsidR="00DA7DFE" w:rsidRPr="00B52F84" w:rsidRDefault="00874E2E" w:rsidP="00887766">
      <w:pPr>
        <w:pStyle w:val="ListParagraph"/>
        <w:numPr>
          <w:ilvl w:val="1"/>
          <w:numId w:val="42"/>
        </w:numPr>
        <w:ind w:left="709" w:hanging="709"/>
        <w:jc w:val="both"/>
        <w:rPr>
          <w:rFonts w:ascii="Bookman Old Style" w:eastAsia="Calibri" w:hAnsi="Bookman Old Style" w:cs="Arial"/>
          <w:bCs/>
          <w:sz w:val="24"/>
          <w:szCs w:val="24"/>
        </w:rPr>
      </w:pPr>
      <w:r>
        <w:rPr>
          <w:rFonts w:ascii="Bookman Old Style" w:hAnsi="Bookman Old Style"/>
          <w:bCs/>
          <w:sz w:val="24"/>
          <w:szCs w:val="24"/>
        </w:rPr>
        <w:t xml:space="preserve">Os problemas que decorrem da </w:t>
      </w:r>
      <w:r w:rsidR="00A619B8">
        <w:rPr>
          <w:rFonts w:ascii="Bookman Old Style" w:hAnsi="Bookman Old Style"/>
          <w:bCs/>
          <w:sz w:val="24"/>
          <w:szCs w:val="24"/>
        </w:rPr>
        <w:t>compila</w:t>
      </w:r>
      <w:r>
        <w:rPr>
          <w:rFonts w:ascii="Bookman Old Style" w:hAnsi="Bookman Old Style"/>
          <w:bCs/>
          <w:sz w:val="24"/>
          <w:szCs w:val="24"/>
        </w:rPr>
        <w:t>ção das rubricas das contas de SDSR e dos fundos concedidos por outros doadores nas demonstrações financeiras do FP-SADC incluem os seguintes:</w:t>
      </w:r>
    </w:p>
    <w:p w14:paraId="47751100" w14:textId="12154B6D" w:rsidR="006D43C0" w:rsidRPr="00042836" w:rsidRDefault="00A65477" w:rsidP="00887766">
      <w:pPr>
        <w:shd w:val="clear" w:color="auto" w:fill="FFFFFF"/>
        <w:spacing w:before="100" w:beforeAutospacing="1" w:after="100" w:afterAutospacing="1"/>
        <w:ind w:left="709" w:hanging="709"/>
        <w:jc w:val="both"/>
        <w:rPr>
          <w:rFonts w:ascii="Helvetica" w:hAnsi="Helvetica"/>
          <w:color w:val="575757"/>
          <w:sz w:val="24"/>
          <w:szCs w:val="24"/>
        </w:rPr>
      </w:pPr>
      <w:r>
        <w:rPr>
          <w:rFonts w:ascii="Bookman Old Style" w:hAnsi="Bookman Old Style"/>
          <w:bCs/>
          <w:sz w:val="24"/>
          <w:szCs w:val="24"/>
        </w:rPr>
        <w:t>2.2.1</w:t>
      </w:r>
      <w:r>
        <w:rPr>
          <w:rFonts w:ascii="Bookman Old Style" w:hAnsi="Bookman Old Style"/>
          <w:bCs/>
          <w:sz w:val="24"/>
          <w:szCs w:val="24"/>
        </w:rPr>
        <w:tab/>
        <w:t xml:space="preserve">As contas do Projecto de SDSR são indexadas em dólares norte-americanos (US$), ao passo que as contas do FP-SADC estão em dólar namibiano (N$). Embora o sistema de contabilidade informatizado Sage 300 </w:t>
      </w:r>
      <w:r w:rsidR="00A619B8">
        <w:rPr>
          <w:rFonts w:ascii="Bookman Old Style" w:hAnsi="Bookman Old Style"/>
          <w:bCs/>
          <w:sz w:val="24"/>
          <w:szCs w:val="24"/>
        </w:rPr>
        <w:t>seja capaz de</w:t>
      </w:r>
      <w:r>
        <w:rPr>
          <w:rFonts w:ascii="Bookman Old Style" w:hAnsi="Bookman Old Style"/>
          <w:bCs/>
          <w:sz w:val="24"/>
          <w:szCs w:val="24"/>
        </w:rPr>
        <w:t xml:space="preserve"> atender contas de muitas companhias em várias moedas, não compila automaticamente essas duas contas, te</w:t>
      </w:r>
      <w:r w:rsidR="00087C2C">
        <w:rPr>
          <w:rFonts w:ascii="Bookman Old Style" w:hAnsi="Bookman Old Style"/>
          <w:bCs/>
          <w:sz w:val="24"/>
          <w:szCs w:val="24"/>
        </w:rPr>
        <w:t>ndo</w:t>
      </w:r>
      <w:r>
        <w:rPr>
          <w:rFonts w:ascii="Bookman Old Style" w:hAnsi="Bookman Old Style"/>
          <w:bCs/>
          <w:sz w:val="24"/>
          <w:szCs w:val="24"/>
        </w:rPr>
        <w:t xml:space="preserve"> em conta a diferença de funcionalidade das diferentes moedas. A compilação deve então ser feita manualmente </w:t>
      </w:r>
      <w:r w:rsidR="00087C2C">
        <w:rPr>
          <w:rFonts w:ascii="Bookman Old Style" w:hAnsi="Bookman Old Style"/>
          <w:bCs/>
          <w:sz w:val="24"/>
          <w:szCs w:val="24"/>
        </w:rPr>
        <w:t>colocando</w:t>
      </w:r>
      <w:r>
        <w:rPr>
          <w:rFonts w:ascii="Bookman Old Style" w:hAnsi="Bookman Old Style"/>
          <w:bCs/>
          <w:sz w:val="24"/>
          <w:szCs w:val="24"/>
        </w:rPr>
        <w:t xml:space="preserve"> as finanças </w:t>
      </w:r>
      <w:r w:rsidR="00087C2C">
        <w:rPr>
          <w:rFonts w:ascii="Bookman Old Style" w:hAnsi="Bookman Old Style"/>
          <w:bCs/>
          <w:sz w:val="24"/>
          <w:szCs w:val="24"/>
        </w:rPr>
        <w:t>perante</w:t>
      </w:r>
      <w:r>
        <w:rPr>
          <w:rFonts w:ascii="Bookman Old Style" w:hAnsi="Bookman Old Style"/>
          <w:bCs/>
          <w:sz w:val="24"/>
          <w:szCs w:val="24"/>
        </w:rPr>
        <w:t xml:space="preserve"> possíveis erros e manipulação.</w:t>
      </w:r>
    </w:p>
    <w:p w14:paraId="01248C82" w14:textId="4738B37F" w:rsidR="00BA7D79" w:rsidRDefault="00A65477" w:rsidP="00887766">
      <w:pPr>
        <w:pStyle w:val="ListParagraph"/>
        <w:ind w:left="709" w:hanging="709"/>
        <w:jc w:val="both"/>
        <w:rPr>
          <w:rFonts w:ascii="Bookman Old Style" w:eastAsia="Calibri" w:hAnsi="Bookman Old Style" w:cs="Arial"/>
          <w:bCs/>
          <w:sz w:val="24"/>
          <w:szCs w:val="24"/>
        </w:rPr>
      </w:pPr>
      <w:r>
        <w:rPr>
          <w:rFonts w:ascii="Bookman Old Style" w:hAnsi="Bookman Old Style"/>
          <w:bCs/>
          <w:sz w:val="24"/>
          <w:szCs w:val="24"/>
        </w:rPr>
        <w:t>2.2.2</w:t>
      </w:r>
      <w:r>
        <w:rPr>
          <w:rFonts w:ascii="Bookman Old Style" w:hAnsi="Bookman Old Style"/>
          <w:bCs/>
          <w:sz w:val="24"/>
          <w:szCs w:val="24"/>
        </w:rPr>
        <w:tab/>
        <w:t>Tendo em consideração a alta flutuação do dólar namibiano (N$) face ao dólar norte-americano (US$) durante o ano, a compilação das duas contas origina ganhos e perdas cambiais não realizados nas contas do FP-SADC. Isto pode levar a um resultado financeiro distorcido do FP-SADC. As perdas cambiais no valor de N$409.411 incursas neste exercício financeiro devem-se essencialmente à conversão das transacções da ASDI realizadas em dólares norte-america</w:t>
      </w:r>
      <w:r w:rsidR="00087C2C">
        <w:rPr>
          <w:rFonts w:ascii="Bookman Old Style" w:hAnsi="Bookman Old Style"/>
          <w:bCs/>
          <w:sz w:val="24"/>
          <w:szCs w:val="24"/>
        </w:rPr>
        <w:t>n</w:t>
      </w:r>
      <w:r>
        <w:rPr>
          <w:rFonts w:ascii="Bookman Old Style" w:hAnsi="Bookman Old Style"/>
          <w:bCs/>
          <w:sz w:val="24"/>
          <w:szCs w:val="24"/>
        </w:rPr>
        <w:t xml:space="preserve">os (US$) </w:t>
      </w:r>
      <w:r w:rsidR="00087C2C">
        <w:rPr>
          <w:rFonts w:ascii="Bookman Old Style" w:hAnsi="Bookman Old Style"/>
          <w:bCs/>
          <w:sz w:val="24"/>
          <w:szCs w:val="24"/>
        </w:rPr>
        <w:t>para o</w:t>
      </w:r>
      <w:r>
        <w:rPr>
          <w:rFonts w:ascii="Bookman Old Style" w:hAnsi="Bookman Old Style"/>
          <w:bCs/>
          <w:sz w:val="24"/>
          <w:szCs w:val="24"/>
        </w:rPr>
        <w:t xml:space="preserve"> dólar namibiano (N$) no acto da compilação.</w:t>
      </w:r>
    </w:p>
    <w:p w14:paraId="05DB1CBB" w14:textId="77777777" w:rsidR="00CE7E67" w:rsidRPr="0042019B" w:rsidRDefault="00CE7E67" w:rsidP="00887766">
      <w:pPr>
        <w:pStyle w:val="ListParagraph"/>
        <w:ind w:left="709" w:hanging="709"/>
        <w:jc w:val="both"/>
        <w:rPr>
          <w:rFonts w:ascii="Bookman Old Style" w:eastAsia="Calibri" w:hAnsi="Bookman Old Style" w:cs="Arial"/>
          <w:bCs/>
          <w:sz w:val="24"/>
          <w:szCs w:val="24"/>
        </w:rPr>
      </w:pPr>
    </w:p>
    <w:p w14:paraId="70F31367" w14:textId="7BA17CF9" w:rsidR="00874E2E" w:rsidRPr="0042019B" w:rsidRDefault="00A65477" w:rsidP="00887766">
      <w:pPr>
        <w:pStyle w:val="ListParagraph"/>
        <w:ind w:left="709" w:hanging="709"/>
        <w:jc w:val="both"/>
        <w:rPr>
          <w:rFonts w:ascii="Bookman Old Style" w:eastAsia="Calibri" w:hAnsi="Bookman Old Style" w:cs="Arial"/>
          <w:bCs/>
          <w:sz w:val="24"/>
          <w:szCs w:val="24"/>
        </w:rPr>
      </w:pPr>
      <w:r>
        <w:rPr>
          <w:rFonts w:ascii="Bookman Old Style" w:hAnsi="Bookman Old Style"/>
          <w:bCs/>
          <w:sz w:val="24"/>
          <w:szCs w:val="24"/>
        </w:rPr>
        <w:t>2.2.3</w:t>
      </w:r>
      <w:r>
        <w:rPr>
          <w:rFonts w:ascii="Bookman Old Style" w:hAnsi="Bookman Old Style"/>
          <w:bCs/>
          <w:sz w:val="24"/>
          <w:szCs w:val="24"/>
        </w:rPr>
        <w:tab/>
        <w:t xml:space="preserve">Os montantes da subvenção de SDSR recebidos e utilizados num ano são relativamente muito elevados (cerca de US$ 1 milhão por ano). Desta forma, estes dados das contas do FP-SADC tendem a distorcer as demonstrações financeiras. Por exemplo, para o exercício findo em 31 de Março de 2022, o saldo bancário do FP-SADC foi de N$ 13.486.547; contudo, a situação financeira do FP-SADC apresenta um saldo bancário de N$ 31.910.522. Isto aconteceu porque o saldo bancário do </w:t>
      </w:r>
      <w:r w:rsidR="00087C2C">
        <w:rPr>
          <w:rFonts w:ascii="Bookman Old Style" w:hAnsi="Bookman Old Style"/>
          <w:bCs/>
          <w:sz w:val="24"/>
          <w:szCs w:val="24"/>
        </w:rPr>
        <w:t>P</w:t>
      </w:r>
      <w:r>
        <w:rPr>
          <w:rFonts w:ascii="Bookman Old Style" w:hAnsi="Bookman Old Style"/>
          <w:bCs/>
          <w:sz w:val="24"/>
          <w:szCs w:val="24"/>
        </w:rPr>
        <w:t>rojecto de SDSR no valor de N$ 18.423.975 juntou-se ao do FP-SADC. Do mesmo modo, os activos totais da folha de balanço cifram-se em N$48 milhões, e, no entanto há uma quantia de N$22 milhões mantida no banco em fundos restritos, que pertencem à ASDI. Embora a rubrica Fundos Restritos esteja debaixo da rubrica Total do Passivo e Património Líquido, a situação financeira geral pode ser enganosa.</w:t>
      </w:r>
    </w:p>
    <w:p w14:paraId="2DC3BCF8" w14:textId="77777777" w:rsidR="00C778A8" w:rsidRPr="0042019B" w:rsidRDefault="00C778A8" w:rsidP="00887766">
      <w:pPr>
        <w:pStyle w:val="ListParagraph"/>
        <w:ind w:left="709" w:hanging="709"/>
        <w:jc w:val="both"/>
        <w:rPr>
          <w:rFonts w:ascii="Bookman Old Style" w:eastAsia="Calibri" w:hAnsi="Bookman Old Style" w:cs="Arial"/>
          <w:bCs/>
          <w:sz w:val="24"/>
          <w:szCs w:val="24"/>
        </w:rPr>
      </w:pPr>
    </w:p>
    <w:p w14:paraId="383C4649" w14:textId="3C03863E" w:rsidR="00874E2E" w:rsidRDefault="00874E2E" w:rsidP="00887766">
      <w:pPr>
        <w:pStyle w:val="ListParagraph"/>
        <w:numPr>
          <w:ilvl w:val="1"/>
          <w:numId w:val="42"/>
        </w:numPr>
        <w:ind w:left="567" w:hanging="567"/>
        <w:jc w:val="both"/>
        <w:rPr>
          <w:rFonts w:ascii="Bookman Old Style" w:eastAsia="Calibri" w:hAnsi="Bookman Old Style" w:cs="Arial"/>
          <w:bCs/>
          <w:sz w:val="24"/>
          <w:szCs w:val="24"/>
        </w:rPr>
      </w:pPr>
      <w:r>
        <w:rPr>
          <w:rFonts w:ascii="Bookman Old Style" w:hAnsi="Bookman Old Style"/>
          <w:bCs/>
          <w:sz w:val="24"/>
          <w:szCs w:val="24"/>
        </w:rPr>
        <w:t>A questão acima referida foi objecto de discussão com os auditores, e recomenda-se o seguinte:</w:t>
      </w:r>
    </w:p>
    <w:p w14:paraId="46015415" w14:textId="77777777" w:rsidR="00CE7E67" w:rsidRPr="0042019B" w:rsidRDefault="00CE7E67" w:rsidP="00887766">
      <w:pPr>
        <w:pStyle w:val="ListParagraph"/>
        <w:ind w:left="567" w:hanging="567"/>
        <w:jc w:val="both"/>
        <w:rPr>
          <w:rFonts w:ascii="Bookman Old Style" w:eastAsia="Calibri" w:hAnsi="Bookman Old Style" w:cs="Arial"/>
          <w:bCs/>
          <w:sz w:val="24"/>
          <w:szCs w:val="24"/>
        </w:rPr>
      </w:pPr>
    </w:p>
    <w:p w14:paraId="526D10DD" w14:textId="203FD2C0" w:rsidR="004A166F" w:rsidRDefault="00A65477" w:rsidP="00887766">
      <w:pPr>
        <w:pStyle w:val="ListParagraph"/>
        <w:ind w:left="709" w:hanging="709"/>
        <w:jc w:val="both"/>
        <w:rPr>
          <w:rFonts w:ascii="Bookman Old Style" w:eastAsia="Calibri" w:hAnsi="Bookman Old Style" w:cs="Arial"/>
          <w:bCs/>
          <w:sz w:val="24"/>
          <w:szCs w:val="24"/>
        </w:rPr>
      </w:pPr>
      <w:r>
        <w:rPr>
          <w:rFonts w:ascii="Bookman Old Style" w:hAnsi="Bookman Old Style"/>
          <w:bCs/>
          <w:sz w:val="24"/>
          <w:szCs w:val="24"/>
        </w:rPr>
        <w:t>2.3.1</w:t>
      </w:r>
      <w:r>
        <w:rPr>
          <w:rFonts w:ascii="Bookman Old Style" w:hAnsi="Bookman Old Style"/>
          <w:bCs/>
          <w:sz w:val="24"/>
          <w:szCs w:val="24"/>
        </w:rPr>
        <w:tab/>
        <w:t xml:space="preserve">...que, a partir do exercício financeiro 2022-2023, as contas do Projecto de SDSR e as contas dos outros doadores deixem de ser compiladas nas </w:t>
      </w:r>
      <w:r>
        <w:rPr>
          <w:rFonts w:ascii="Bookman Old Style" w:hAnsi="Bookman Old Style"/>
          <w:bCs/>
          <w:sz w:val="24"/>
          <w:szCs w:val="24"/>
        </w:rPr>
        <w:lastRenderedPageBreak/>
        <w:t>demonstrações financeiras do FP-SADC; para esse efeito, as demonstrações financeiras do Projecto SDSR e as do FP-SADC devem ser elaboradas e auditadas separadamente. Esta disposição aplicar-se-á a todos os outros projectos financiados por doadores, que requerem demonstrações financeiras auditadas.</w:t>
      </w:r>
    </w:p>
    <w:p w14:paraId="4B84E3E5" w14:textId="77777777" w:rsidR="009F69DF" w:rsidRPr="0042019B" w:rsidRDefault="009F69DF" w:rsidP="00887766">
      <w:pPr>
        <w:pStyle w:val="ListParagraph"/>
        <w:ind w:left="567" w:hanging="567"/>
        <w:jc w:val="both"/>
        <w:rPr>
          <w:rFonts w:ascii="Bookman Old Style" w:eastAsia="Calibri" w:hAnsi="Bookman Old Style" w:cs="Arial"/>
          <w:bCs/>
          <w:sz w:val="24"/>
          <w:szCs w:val="24"/>
        </w:rPr>
      </w:pPr>
    </w:p>
    <w:p w14:paraId="5CD5A66B" w14:textId="08708778" w:rsidR="00874E2E" w:rsidRPr="0042019B" w:rsidRDefault="00A65477" w:rsidP="00887766">
      <w:pPr>
        <w:pStyle w:val="ListParagraph"/>
        <w:ind w:left="709" w:hanging="709"/>
        <w:jc w:val="both"/>
        <w:rPr>
          <w:rFonts w:ascii="Bookman Old Style" w:eastAsia="Calibri" w:hAnsi="Bookman Old Style" w:cs="Arial"/>
          <w:bCs/>
          <w:sz w:val="24"/>
          <w:szCs w:val="24"/>
        </w:rPr>
      </w:pPr>
      <w:r>
        <w:rPr>
          <w:rFonts w:ascii="Bookman Old Style" w:hAnsi="Bookman Old Style"/>
          <w:bCs/>
          <w:sz w:val="24"/>
          <w:szCs w:val="24"/>
        </w:rPr>
        <w:t>2.3.2</w:t>
      </w:r>
      <w:r>
        <w:rPr>
          <w:rFonts w:ascii="Bookman Old Style" w:hAnsi="Bookman Old Style"/>
          <w:bCs/>
          <w:sz w:val="24"/>
          <w:szCs w:val="24"/>
        </w:rPr>
        <w:tab/>
        <w:t>Todos os conjuntos de demonstrações financeiras auditadas serão submetidos à consideração da Comissão Executiva anualmente, através da Subcomissão Financeira, para aprovação ou tomada de conhecimento, conforme o caso.</w:t>
      </w:r>
    </w:p>
    <w:p w14:paraId="7D5ED011" w14:textId="77777777" w:rsidR="00D9672B" w:rsidRPr="0042019B" w:rsidRDefault="00D9672B" w:rsidP="00887766">
      <w:pPr>
        <w:pStyle w:val="ListParagraph"/>
        <w:ind w:left="567" w:hanging="567"/>
        <w:jc w:val="both"/>
        <w:rPr>
          <w:rFonts w:ascii="Bookman Old Style" w:eastAsia="Calibri" w:hAnsi="Bookman Old Style" w:cs="Arial"/>
          <w:bCs/>
          <w:sz w:val="24"/>
          <w:szCs w:val="24"/>
        </w:rPr>
      </w:pPr>
    </w:p>
    <w:p w14:paraId="6FADC50B" w14:textId="43CD5DA0" w:rsidR="00F3260F" w:rsidRPr="0042019B" w:rsidRDefault="00874E2E" w:rsidP="00887766">
      <w:pPr>
        <w:pStyle w:val="ListParagraph"/>
        <w:numPr>
          <w:ilvl w:val="1"/>
          <w:numId w:val="46"/>
        </w:numPr>
        <w:ind w:left="567" w:hanging="567"/>
        <w:jc w:val="both"/>
        <w:rPr>
          <w:rFonts w:ascii="Bookman Old Style" w:eastAsia="Calibri" w:hAnsi="Bookman Old Style" w:cs="Arial"/>
          <w:bCs/>
          <w:sz w:val="24"/>
          <w:szCs w:val="24"/>
        </w:rPr>
      </w:pPr>
      <w:r>
        <w:rPr>
          <w:rFonts w:ascii="Bookman Old Style" w:hAnsi="Bookman Old Style"/>
          <w:bCs/>
          <w:sz w:val="24"/>
          <w:szCs w:val="24"/>
        </w:rPr>
        <w:t>Com os tratamentos contabilísticos acima propost</w:t>
      </w:r>
      <w:r w:rsidR="00087C2C">
        <w:rPr>
          <w:rFonts w:ascii="Bookman Old Style" w:hAnsi="Bookman Old Style"/>
          <w:bCs/>
          <w:sz w:val="24"/>
          <w:szCs w:val="24"/>
        </w:rPr>
        <w:t>o</w:t>
      </w:r>
      <w:r>
        <w:rPr>
          <w:rFonts w:ascii="Bookman Old Style" w:hAnsi="Bookman Old Style"/>
          <w:bCs/>
          <w:sz w:val="24"/>
          <w:szCs w:val="24"/>
        </w:rPr>
        <w:t xml:space="preserve">s, as demonstrações financeiras do FP-SADC não ficarão distorcidas, e em segundo lugar, a flutuação da taxa de câmbio entre o dólar norte-americano (US$) e o dólar namibiano (N$) não afectará os resultados financeiros do FP-SADC. </w:t>
      </w:r>
    </w:p>
    <w:p w14:paraId="55560515" w14:textId="43422715" w:rsidR="001F5438" w:rsidRDefault="001F5438" w:rsidP="001F5438">
      <w:pPr>
        <w:pStyle w:val="ListParagraph"/>
        <w:ind w:left="432" w:firstLine="0"/>
        <w:jc w:val="both"/>
        <w:rPr>
          <w:rFonts w:ascii="Bookman Old Style" w:eastAsia="Calibri" w:hAnsi="Bookman Old Style" w:cs="Arial"/>
          <w:bCs/>
          <w:color w:val="FF0000"/>
          <w:sz w:val="24"/>
          <w:szCs w:val="24"/>
        </w:rPr>
      </w:pPr>
    </w:p>
    <w:p w14:paraId="4F8F3CA3" w14:textId="0FCA4FF0" w:rsidR="005921B0" w:rsidRPr="00887766" w:rsidRDefault="001F5438" w:rsidP="00887766">
      <w:pPr>
        <w:pStyle w:val="ListParagraph"/>
        <w:numPr>
          <w:ilvl w:val="1"/>
          <w:numId w:val="48"/>
        </w:numPr>
        <w:ind w:left="567" w:hanging="567"/>
        <w:jc w:val="both"/>
        <w:rPr>
          <w:rFonts w:ascii="Bookman Old Style" w:eastAsia="Calibri" w:hAnsi="Bookman Old Style" w:cs="Arial"/>
          <w:b/>
          <w:sz w:val="24"/>
          <w:szCs w:val="24"/>
        </w:rPr>
      </w:pPr>
      <w:bookmarkStart w:id="18" w:name="_Hlk117096840"/>
      <w:r w:rsidRPr="005921B0">
        <w:rPr>
          <w:rFonts w:ascii="Bookman Old Style" w:hAnsi="Bookman Old Style"/>
          <w:b/>
          <w:sz w:val="24"/>
          <w:szCs w:val="24"/>
        </w:rPr>
        <w:t xml:space="preserve">RECOMENDAÇÕES SUBMETIDAS À CONSIDERAÇÃO DA </w:t>
      </w:r>
      <w:r w:rsidR="005921B0" w:rsidRPr="00887766">
        <w:rPr>
          <w:rFonts w:ascii="Bookman Old Style" w:hAnsi="Bookman Old Style"/>
          <w:b/>
          <w:sz w:val="24"/>
          <w:szCs w:val="24"/>
        </w:rPr>
        <w:t>ASSEMBLEIA PLENÁRIA</w:t>
      </w:r>
    </w:p>
    <w:bookmarkEnd w:id="18"/>
    <w:p w14:paraId="4BEA9DEF" w14:textId="77777777" w:rsidR="001F5438" w:rsidRPr="00887766" w:rsidRDefault="001F5438" w:rsidP="001F5438">
      <w:pPr>
        <w:pStyle w:val="ListParagraph"/>
        <w:jc w:val="both"/>
        <w:rPr>
          <w:rFonts w:ascii="Bookman Old Style" w:eastAsia="Calibri" w:hAnsi="Bookman Old Style" w:cs="Arial"/>
          <w:bCs/>
          <w:sz w:val="24"/>
          <w:szCs w:val="24"/>
        </w:rPr>
      </w:pPr>
    </w:p>
    <w:p w14:paraId="28D48CEB" w14:textId="2885C093" w:rsidR="00AA2BB6" w:rsidRPr="00AA2BB6" w:rsidRDefault="001F5438" w:rsidP="00887766">
      <w:pPr>
        <w:pStyle w:val="ListParagraph"/>
        <w:ind w:left="567" w:firstLine="0"/>
        <w:jc w:val="both"/>
        <w:rPr>
          <w:rFonts w:ascii="Bookman Old Style" w:eastAsia="Calibri" w:hAnsi="Bookman Old Style" w:cs="Arial"/>
          <w:b/>
          <w:sz w:val="24"/>
          <w:szCs w:val="24"/>
        </w:rPr>
      </w:pPr>
      <w:r w:rsidRPr="00887766">
        <w:rPr>
          <w:rFonts w:ascii="Bookman Old Style" w:hAnsi="Bookman Old Style"/>
          <w:b/>
          <w:sz w:val="24"/>
          <w:szCs w:val="24"/>
        </w:rPr>
        <w:t xml:space="preserve">A </w:t>
      </w:r>
      <w:r w:rsidR="005921B0" w:rsidRPr="00887766">
        <w:rPr>
          <w:rFonts w:ascii="Bookman Old Style" w:hAnsi="Bookman Old Style"/>
          <w:b/>
          <w:sz w:val="24"/>
          <w:szCs w:val="24"/>
        </w:rPr>
        <w:t>Assembleia Plenária</w:t>
      </w:r>
      <w:r>
        <w:rPr>
          <w:rFonts w:ascii="Bookman Old Style" w:hAnsi="Bookman Old Style"/>
          <w:b/>
          <w:sz w:val="24"/>
          <w:szCs w:val="24"/>
        </w:rPr>
        <w:t xml:space="preserve"> é convidada a acolher favoravelmente a proposta de se descontinuar a compilação das demonstrações financeiras das contas principais do FP-SADC com as demonstrações financeiras dos fundos concedidos por doadores, a partir do exercício financeiro findo em 31 de Março de 2023</w:t>
      </w:r>
      <w:r w:rsidR="005921B0">
        <w:rPr>
          <w:rFonts w:ascii="Bookman Old Style" w:hAnsi="Bookman Old Style"/>
          <w:b/>
          <w:sz w:val="24"/>
          <w:szCs w:val="24"/>
        </w:rPr>
        <w:t>.</w:t>
      </w:r>
    </w:p>
    <w:p w14:paraId="4357CA83" w14:textId="77777777" w:rsidR="004A166F" w:rsidRPr="003451D2" w:rsidRDefault="004A166F" w:rsidP="003451D2">
      <w:pPr>
        <w:ind w:firstLine="0"/>
        <w:jc w:val="both"/>
        <w:rPr>
          <w:rFonts w:ascii="Bookman Old Style" w:eastAsia="Calibri" w:hAnsi="Bookman Old Style" w:cs="Arial"/>
          <w:bCs/>
          <w:color w:val="FF0000"/>
          <w:sz w:val="24"/>
          <w:szCs w:val="24"/>
        </w:rPr>
      </w:pPr>
    </w:p>
    <w:p w14:paraId="3A25E945" w14:textId="77777777" w:rsidR="00874E2E" w:rsidRPr="00326E05" w:rsidRDefault="00874E2E" w:rsidP="00874E2E">
      <w:pPr>
        <w:pStyle w:val="ListParagraph"/>
        <w:ind w:firstLine="0"/>
        <w:jc w:val="both"/>
        <w:rPr>
          <w:rFonts w:ascii="Bookman Old Style" w:eastAsia="Calibri" w:hAnsi="Bookman Old Style" w:cs="Arial"/>
          <w:b/>
          <w:sz w:val="24"/>
          <w:szCs w:val="24"/>
        </w:rPr>
      </w:pPr>
    </w:p>
    <w:p w14:paraId="4AFBC51C" w14:textId="77777777" w:rsidR="00874E2E" w:rsidRDefault="00874E2E" w:rsidP="00874E2E">
      <w:pPr>
        <w:ind w:left="720" w:firstLine="0"/>
        <w:jc w:val="both"/>
        <w:rPr>
          <w:rFonts w:ascii="Bookman Old Style" w:eastAsia="Calibri" w:hAnsi="Bookman Old Style" w:cs="Arial"/>
          <w:b/>
          <w:sz w:val="24"/>
          <w:szCs w:val="24"/>
        </w:rPr>
      </w:pPr>
    </w:p>
    <w:p w14:paraId="37D67AEE" w14:textId="77777777" w:rsidR="001365D6" w:rsidRPr="00C361DD" w:rsidRDefault="001365D6" w:rsidP="001365D6">
      <w:pPr>
        <w:pStyle w:val="ListParagraph"/>
        <w:ind w:left="1080" w:firstLine="0"/>
        <w:jc w:val="both"/>
        <w:rPr>
          <w:rFonts w:ascii="Bookman Old Style" w:eastAsia="Calibri" w:hAnsi="Bookman Old Style" w:cs="Arial"/>
          <w:b/>
          <w:sz w:val="24"/>
          <w:szCs w:val="24"/>
        </w:rPr>
      </w:pPr>
    </w:p>
    <w:p w14:paraId="6060E9B0" w14:textId="198F3EAD" w:rsidR="006411A0" w:rsidRPr="00B52F84" w:rsidRDefault="007D24BA" w:rsidP="00B52F84">
      <w:pPr>
        <w:ind w:firstLine="0"/>
        <w:jc w:val="both"/>
        <w:rPr>
          <w:rFonts w:ascii="Bookman Old Style" w:eastAsia="Calibri" w:hAnsi="Bookman Old Style" w:cs="Arial"/>
          <w:bCs/>
          <w:sz w:val="24"/>
          <w:szCs w:val="24"/>
        </w:rPr>
      </w:pPr>
      <w:r>
        <w:rPr>
          <w:rFonts w:ascii="Bookman Old Style" w:hAnsi="Bookman Old Style"/>
          <w:bCs/>
          <w:sz w:val="24"/>
          <w:szCs w:val="24"/>
        </w:rPr>
        <w:t>Deputado Darren Bergman</w:t>
      </w:r>
    </w:p>
    <w:p w14:paraId="6F9291D6" w14:textId="655D996D" w:rsidR="00B52F84" w:rsidRPr="00B52F84" w:rsidRDefault="007D24BA" w:rsidP="00B52F84">
      <w:pPr>
        <w:ind w:firstLine="0"/>
        <w:jc w:val="both"/>
        <w:rPr>
          <w:rFonts w:ascii="Bookman Old Style" w:eastAsia="Calibri" w:hAnsi="Bookman Old Style" w:cs="Arial"/>
          <w:b/>
          <w:sz w:val="24"/>
          <w:szCs w:val="24"/>
        </w:rPr>
      </w:pPr>
      <w:r>
        <w:rPr>
          <w:rFonts w:ascii="Bookman Old Style" w:hAnsi="Bookman Old Style"/>
          <w:b/>
          <w:sz w:val="24"/>
          <w:szCs w:val="24"/>
        </w:rPr>
        <w:t>TESOUREIRO</w:t>
      </w:r>
    </w:p>
    <w:sectPr w:rsidR="00B52F84" w:rsidRPr="00B52F8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26018" w14:textId="77777777" w:rsidR="000A3533" w:rsidRDefault="000A3533" w:rsidP="00B20207">
      <w:r>
        <w:separator/>
      </w:r>
    </w:p>
  </w:endnote>
  <w:endnote w:type="continuationSeparator" w:id="0">
    <w:p w14:paraId="5BE983FC" w14:textId="77777777" w:rsidR="000A3533" w:rsidRDefault="000A3533" w:rsidP="00B2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OldStyle-Bold">
    <w:altName w:val="Cambria"/>
    <w:panose1 w:val="00000000000000000000"/>
    <w:charset w:val="00"/>
    <w:family w:val="roman"/>
    <w:notTrueType/>
    <w:pitch w:val="default"/>
  </w:font>
  <w:font w:name="BookmanOldStyle">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sz w:val="20"/>
        <w:szCs w:val="20"/>
      </w:rPr>
      <w:id w:val="1964852840"/>
      <w:docPartObj>
        <w:docPartGallery w:val="Page Numbers (Bottom of Page)"/>
        <w:docPartUnique/>
      </w:docPartObj>
    </w:sdtPr>
    <w:sdtEndPr/>
    <w:sdtContent>
      <w:sdt>
        <w:sdtPr>
          <w:rPr>
            <w:rFonts w:ascii="Bookman Old Style" w:hAnsi="Bookman Old Style"/>
            <w:sz w:val="20"/>
            <w:szCs w:val="20"/>
          </w:rPr>
          <w:id w:val="1728636285"/>
          <w:docPartObj>
            <w:docPartGallery w:val="Page Numbers (Top of Page)"/>
            <w:docPartUnique/>
          </w:docPartObj>
        </w:sdtPr>
        <w:sdtEndPr/>
        <w:sdtContent>
          <w:p w14:paraId="78A5B4AE" w14:textId="22949E72" w:rsidR="00D51038" w:rsidRPr="00436BCD" w:rsidRDefault="00D51038" w:rsidP="00436BCD">
            <w:pPr>
              <w:pStyle w:val="Footer"/>
              <w:jc w:val="right"/>
              <w:rPr>
                <w:rFonts w:ascii="Bookman Old Style" w:hAnsi="Bookman Old Style"/>
                <w:sz w:val="20"/>
                <w:szCs w:val="20"/>
              </w:rPr>
            </w:pPr>
            <w:r>
              <w:t xml:space="preserve">Página </w:t>
            </w:r>
            <w:r w:rsidRPr="00436BCD">
              <w:rPr>
                <w:rFonts w:ascii="Bookman Old Style" w:hAnsi="Bookman Old Style"/>
                <w:sz w:val="20"/>
                <w:szCs w:val="20"/>
              </w:rPr>
              <w:fldChar w:fldCharType="begin"/>
            </w:r>
            <w:r w:rsidRPr="00436BCD">
              <w:rPr>
                <w:rFonts w:ascii="Bookman Old Style" w:hAnsi="Bookman Old Style"/>
                <w:sz w:val="20"/>
                <w:szCs w:val="20"/>
              </w:rPr>
              <w:instrText xml:space="preserve"> PAGE </w:instrText>
            </w:r>
            <w:r w:rsidRPr="00436BCD">
              <w:rPr>
                <w:rFonts w:ascii="Bookman Old Style" w:hAnsi="Bookman Old Style"/>
                <w:sz w:val="20"/>
                <w:szCs w:val="20"/>
              </w:rPr>
              <w:fldChar w:fldCharType="separate"/>
            </w:r>
            <w:r w:rsidRPr="00436BCD">
              <w:rPr>
                <w:rFonts w:ascii="Bookman Old Style" w:hAnsi="Bookman Old Style"/>
                <w:sz w:val="20"/>
                <w:szCs w:val="20"/>
              </w:rPr>
              <w:t>2</w:t>
            </w:r>
            <w:r w:rsidRPr="00436BCD">
              <w:rPr>
                <w:rFonts w:ascii="Bookman Old Style" w:hAnsi="Bookman Old Style"/>
                <w:sz w:val="20"/>
                <w:szCs w:val="20"/>
              </w:rPr>
              <w:fldChar w:fldCharType="end"/>
            </w:r>
            <w:r>
              <w:t xml:space="preserve"> de </w:t>
            </w:r>
            <w:r w:rsidRPr="00436BCD">
              <w:rPr>
                <w:rFonts w:ascii="Bookman Old Style" w:hAnsi="Bookman Old Style"/>
                <w:sz w:val="20"/>
                <w:szCs w:val="20"/>
              </w:rPr>
              <w:fldChar w:fldCharType="begin"/>
            </w:r>
            <w:r w:rsidRPr="00436BCD">
              <w:rPr>
                <w:rFonts w:ascii="Bookman Old Style" w:hAnsi="Bookman Old Style"/>
                <w:sz w:val="20"/>
                <w:szCs w:val="20"/>
              </w:rPr>
              <w:instrText xml:space="preserve"> NUMPAGES  </w:instrText>
            </w:r>
            <w:r w:rsidRPr="00436BCD">
              <w:rPr>
                <w:rFonts w:ascii="Bookman Old Style" w:hAnsi="Bookman Old Style"/>
                <w:sz w:val="20"/>
                <w:szCs w:val="20"/>
              </w:rPr>
              <w:fldChar w:fldCharType="separate"/>
            </w:r>
            <w:r w:rsidRPr="00436BCD">
              <w:rPr>
                <w:rFonts w:ascii="Bookman Old Style" w:hAnsi="Bookman Old Style"/>
                <w:sz w:val="20"/>
                <w:szCs w:val="20"/>
              </w:rPr>
              <w:t>2</w:t>
            </w:r>
            <w:r w:rsidRPr="00436BCD">
              <w:rPr>
                <w:rFonts w:ascii="Bookman Old Style" w:hAnsi="Bookman Old Style"/>
                <w:sz w:val="20"/>
                <w:szCs w:val="20"/>
              </w:rPr>
              <w:fldChar w:fldCharType="end"/>
            </w:r>
          </w:p>
        </w:sdtContent>
      </w:sdt>
    </w:sdtContent>
  </w:sdt>
  <w:p w14:paraId="26F382DC" w14:textId="77777777" w:rsidR="00D51038" w:rsidRDefault="00D510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5ED1" w14:textId="77777777" w:rsidR="000A3533" w:rsidRDefault="000A3533" w:rsidP="00B20207">
      <w:r>
        <w:separator/>
      </w:r>
    </w:p>
  </w:footnote>
  <w:footnote w:type="continuationSeparator" w:id="0">
    <w:p w14:paraId="0660E976" w14:textId="77777777" w:rsidR="000A3533" w:rsidRDefault="000A3533" w:rsidP="00B20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596"/>
    <w:multiLevelType w:val="multilevel"/>
    <w:tmpl w:val="ABCADB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C9D0E44"/>
    <w:multiLevelType w:val="hybridMultilevel"/>
    <w:tmpl w:val="2A685F2A"/>
    <w:lvl w:ilvl="0" w:tplc="16644A94">
      <w:start w:val="1"/>
      <w:numFmt w:val="lowerRoman"/>
      <w:lvlText w:val="%1."/>
      <w:lvlJc w:val="left"/>
      <w:pPr>
        <w:ind w:left="1289" w:hanging="360"/>
      </w:pPr>
      <w:rPr>
        <w:rFonts w:hint="default"/>
      </w:rPr>
    </w:lvl>
    <w:lvl w:ilvl="1" w:tplc="20000019" w:tentative="1">
      <w:start w:val="1"/>
      <w:numFmt w:val="lowerLetter"/>
      <w:lvlText w:val="%2."/>
      <w:lvlJc w:val="left"/>
      <w:pPr>
        <w:ind w:left="2009" w:hanging="360"/>
      </w:pPr>
    </w:lvl>
    <w:lvl w:ilvl="2" w:tplc="2000001B" w:tentative="1">
      <w:start w:val="1"/>
      <w:numFmt w:val="lowerRoman"/>
      <w:lvlText w:val="%3."/>
      <w:lvlJc w:val="right"/>
      <w:pPr>
        <w:ind w:left="2729" w:hanging="180"/>
      </w:pPr>
    </w:lvl>
    <w:lvl w:ilvl="3" w:tplc="2000000F" w:tentative="1">
      <w:start w:val="1"/>
      <w:numFmt w:val="decimal"/>
      <w:lvlText w:val="%4."/>
      <w:lvlJc w:val="left"/>
      <w:pPr>
        <w:ind w:left="3449" w:hanging="360"/>
      </w:pPr>
    </w:lvl>
    <w:lvl w:ilvl="4" w:tplc="20000019" w:tentative="1">
      <w:start w:val="1"/>
      <w:numFmt w:val="lowerLetter"/>
      <w:lvlText w:val="%5."/>
      <w:lvlJc w:val="left"/>
      <w:pPr>
        <w:ind w:left="4169" w:hanging="360"/>
      </w:pPr>
    </w:lvl>
    <w:lvl w:ilvl="5" w:tplc="2000001B" w:tentative="1">
      <w:start w:val="1"/>
      <w:numFmt w:val="lowerRoman"/>
      <w:lvlText w:val="%6."/>
      <w:lvlJc w:val="right"/>
      <w:pPr>
        <w:ind w:left="4889" w:hanging="180"/>
      </w:pPr>
    </w:lvl>
    <w:lvl w:ilvl="6" w:tplc="2000000F" w:tentative="1">
      <w:start w:val="1"/>
      <w:numFmt w:val="decimal"/>
      <w:lvlText w:val="%7."/>
      <w:lvlJc w:val="left"/>
      <w:pPr>
        <w:ind w:left="5609" w:hanging="360"/>
      </w:pPr>
    </w:lvl>
    <w:lvl w:ilvl="7" w:tplc="20000019" w:tentative="1">
      <w:start w:val="1"/>
      <w:numFmt w:val="lowerLetter"/>
      <w:lvlText w:val="%8."/>
      <w:lvlJc w:val="left"/>
      <w:pPr>
        <w:ind w:left="6329" w:hanging="360"/>
      </w:pPr>
    </w:lvl>
    <w:lvl w:ilvl="8" w:tplc="2000001B" w:tentative="1">
      <w:start w:val="1"/>
      <w:numFmt w:val="lowerRoman"/>
      <w:lvlText w:val="%9."/>
      <w:lvlJc w:val="right"/>
      <w:pPr>
        <w:ind w:left="7049" w:hanging="180"/>
      </w:pPr>
    </w:lvl>
  </w:abstractNum>
  <w:abstractNum w:abstractNumId="2" w15:restartNumberingAfterBreak="0">
    <w:nsid w:val="0ED06592"/>
    <w:multiLevelType w:val="multilevel"/>
    <w:tmpl w:val="D91E0A80"/>
    <w:lvl w:ilvl="0">
      <w:start w:val="2"/>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2"/>
      <w:numFmt w:val="decimal"/>
      <w:lvlText w:val="%1.%2.%3."/>
      <w:lvlJc w:val="left"/>
      <w:pPr>
        <w:ind w:left="960" w:hanging="96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4940FE"/>
    <w:multiLevelType w:val="hybridMultilevel"/>
    <w:tmpl w:val="35CA0FEE"/>
    <w:lvl w:ilvl="0" w:tplc="C6E4CC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F2801"/>
    <w:multiLevelType w:val="multilevel"/>
    <w:tmpl w:val="F47CE4B0"/>
    <w:lvl w:ilvl="0">
      <w:start w:val="8"/>
      <w:numFmt w:val="decimal"/>
      <w:lvlText w:val="%1"/>
      <w:lvlJc w:val="left"/>
      <w:pPr>
        <w:ind w:left="396" w:hanging="396"/>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5" w15:restartNumberingAfterBreak="0">
    <w:nsid w:val="178E5C0B"/>
    <w:multiLevelType w:val="multilevel"/>
    <w:tmpl w:val="9CF4BC7A"/>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8384176"/>
    <w:multiLevelType w:val="hybridMultilevel"/>
    <w:tmpl w:val="C3D68A12"/>
    <w:lvl w:ilvl="0" w:tplc="8716BFA6">
      <w:start w:val="1"/>
      <w:numFmt w:val="lowerRoman"/>
      <w:lvlText w:val="(%1)"/>
      <w:lvlJc w:val="left"/>
      <w:pPr>
        <w:ind w:left="1080" w:hanging="720"/>
      </w:pPr>
      <w:rPr>
        <w:rFonts w:ascii="Bookman Old Style" w:hAnsi="Bookman Old Style"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AD20E47"/>
    <w:multiLevelType w:val="multilevel"/>
    <w:tmpl w:val="C478B810"/>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D0155EB"/>
    <w:multiLevelType w:val="hybridMultilevel"/>
    <w:tmpl w:val="C1964FB8"/>
    <w:lvl w:ilvl="0" w:tplc="3A3EDAFE">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20146486"/>
    <w:multiLevelType w:val="hybridMultilevel"/>
    <w:tmpl w:val="5A2A8B0E"/>
    <w:lvl w:ilvl="0" w:tplc="340AB2D6">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240C15C8"/>
    <w:multiLevelType w:val="hybridMultilevel"/>
    <w:tmpl w:val="E2F6911A"/>
    <w:lvl w:ilvl="0" w:tplc="57C2486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9351B0C"/>
    <w:multiLevelType w:val="hybridMultilevel"/>
    <w:tmpl w:val="DBA62218"/>
    <w:lvl w:ilvl="0" w:tplc="D05CD52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9973684"/>
    <w:multiLevelType w:val="multilevel"/>
    <w:tmpl w:val="57D2944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C241C6A"/>
    <w:multiLevelType w:val="hybridMultilevel"/>
    <w:tmpl w:val="79A40C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C51491C"/>
    <w:multiLevelType w:val="hybridMultilevel"/>
    <w:tmpl w:val="F480864A"/>
    <w:lvl w:ilvl="0" w:tplc="2AFA1B0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EF239E9"/>
    <w:multiLevelType w:val="hybridMultilevel"/>
    <w:tmpl w:val="B58AE71A"/>
    <w:lvl w:ilvl="0" w:tplc="EC842F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A97E12"/>
    <w:multiLevelType w:val="multilevel"/>
    <w:tmpl w:val="9F365432"/>
    <w:lvl w:ilvl="0">
      <w:start w:val="1"/>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2"/>
      <w:numFmt w:val="decimal"/>
      <w:lvlText w:val="%1.%2.%3."/>
      <w:lvlJc w:val="left"/>
      <w:pPr>
        <w:ind w:left="960" w:hanging="96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B34B4F"/>
    <w:multiLevelType w:val="hybridMultilevel"/>
    <w:tmpl w:val="8F3EA6A4"/>
    <w:lvl w:ilvl="0" w:tplc="9252C1DA">
      <w:start w:val="1"/>
      <w:numFmt w:val="lowerLetter"/>
      <w:lvlText w:val="%1)"/>
      <w:lvlJc w:val="left"/>
      <w:pPr>
        <w:ind w:left="1440" w:hanging="360"/>
      </w:pPr>
      <w:rPr>
        <w:rFonts w:hint="default"/>
        <w:b/>
        <w:bCs/>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33836DE6"/>
    <w:multiLevelType w:val="multilevel"/>
    <w:tmpl w:val="01964380"/>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68677CE"/>
    <w:multiLevelType w:val="multilevel"/>
    <w:tmpl w:val="E93C4FCE"/>
    <w:lvl w:ilvl="0">
      <w:start w:val="5"/>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6923D6A"/>
    <w:multiLevelType w:val="hybridMultilevel"/>
    <w:tmpl w:val="4D92599E"/>
    <w:lvl w:ilvl="0" w:tplc="966A05C2">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3AF51721"/>
    <w:multiLevelType w:val="multilevel"/>
    <w:tmpl w:val="01964380"/>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2AB5B11"/>
    <w:multiLevelType w:val="multilevel"/>
    <w:tmpl w:val="E586E5E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2C23D2F"/>
    <w:multiLevelType w:val="hybridMultilevel"/>
    <w:tmpl w:val="85BA92C6"/>
    <w:lvl w:ilvl="0" w:tplc="E05E122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88F56B4"/>
    <w:multiLevelType w:val="multilevel"/>
    <w:tmpl w:val="1F7EAB42"/>
    <w:lvl w:ilvl="0">
      <w:start w:val="9"/>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BEF621B"/>
    <w:multiLevelType w:val="hybridMultilevel"/>
    <w:tmpl w:val="7BACF7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E736A39"/>
    <w:multiLevelType w:val="multilevel"/>
    <w:tmpl w:val="C2143130"/>
    <w:lvl w:ilvl="0">
      <w:start w:val="3"/>
      <w:numFmt w:val="decimal"/>
      <w:lvlText w:val="%1."/>
      <w:lvlJc w:val="left"/>
      <w:pPr>
        <w:ind w:left="960" w:hanging="960"/>
      </w:pPr>
      <w:rPr>
        <w:rFonts w:hint="default"/>
        <w:b/>
        <w:color w:val="000000"/>
      </w:rPr>
    </w:lvl>
    <w:lvl w:ilvl="1">
      <w:start w:val="1"/>
      <w:numFmt w:val="decimal"/>
      <w:lvlText w:val="%1.%2."/>
      <w:lvlJc w:val="left"/>
      <w:pPr>
        <w:ind w:left="960" w:hanging="960"/>
      </w:pPr>
      <w:rPr>
        <w:rFonts w:hint="default"/>
        <w:b/>
        <w:color w:val="000000"/>
      </w:rPr>
    </w:lvl>
    <w:lvl w:ilvl="2">
      <w:start w:val="1"/>
      <w:numFmt w:val="decimal"/>
      <w:lvlText w:val="%1.%2.%3."/>
      <w:lvlJc w:val="left"/>
      <w:pPr>
        <w:ind w:left="960" w:hanging="960"/>
      </w:pPr>
      <w:rPr>
        <w:rFonts w:hint="default"/>
        <w:b/>
        <w:color w:val="000000"/>
      </w:rPr>
    </w:lvl>
    <w:lvl w:ilvl="3">
      <w:start w:val="2"/>
      <w:numFmt w:val="decimal"/>
      <w:lvlText w:val="%1.%2.%3.%4."/>
      <w:lvlJc w:val="left"/>
      <w:pPr>
        <w:ind w:left="1080" w:hanging="1080"/>
      </w:pPr>
      <w:rPr>
        <w:rFonts w:hint="default"/>
        <w:b/>
        <w:color w:val="000000"/>
      </w:rPr>
    </w:lvl>
    <w:lvl w:ilvl="4">
      <w:start w:val="1"/>
      <w:numFmt w:val="decimal"/>
      <w:lvlText w:val="%1.%2.%3.%4.%5."/>
      <w:lvlJc w:val="left"/>
      <w:pPr>
        <w:ind w:left="1440" w:hanging="144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27" w15:restartNumberingAfterBreak="0">
    <w:nsid w:val="4F680D38"/>
    <w:multiLevelType w:val="hybridMultilevel"/>
    <w:tmpl w:val="AA1EEF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7B70A6"/>
    <w:multiLevelType w:val="multilevel"/>
    <w:tmpl w:val="B8A4DF96"/>
    <w:lvl w:ilvl="0">
      <w:start w:val="6"/>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4BB4185"/>
    <w:multiLevelType w:val="hybridMultilevel"/>
    <w:tmpl w:val="3BEAE8E2"/>
    <w:lvl w:ilvl="0" w:tplc="D7CEADFC">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562A40D6"/>
    <w:multiLevelType w:val="multilevel"/>
    <w:tmpl w:val="0836521E"/>
    <w:lvl w:ilvl="0">
      <w:start w:val="2"/>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64E46F1"/>
    <w:multiLevelType w:val="multilevel"/>
    <w:tmpl w:val="AA9A6476"/>
    <w:lvl w:ilvl="0">
      <w:start w:val="4"/>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65070ED"/>
    <w:multiLevelType w:val="multilevel"/>
    <w:tmpl w:val="1756807A"/>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70A5575"/>
    <w:multiLevelType w:val="multilevel"/>
    <w:tmpl w:val="5C7A068A"/>
    <w:lvl w:ilvl="0">
      <w:start w:val="8"/>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D0D04D6"/>
    <w:multiLevelType w:val="multilevel"/>
    <w:tmpl w:val="A600DD94"/>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5F3F2CBA"/>
    <w:multiLevelType w:val="hybridMultilevel"/>
    <w:tmpl w:val="A2F03F82"/>
    <w:lvl w:ilvl="0" w:tplc="16644A94">
      <w:start w:val="1"/>
      <w:numFmt w:val="lowerRoman"/>
      <w:lvlText w:val="%1."/>
      <w:lvlJc w:val="left"/>
      <w:pPr>
        <w:ind w:left="2020" w:hanging="720"/>
      </w:pPr>
      <w:rPr>
        <w:rFonts w:hint="default"/>
      </w:rPr>
    </w:lvl>
    <w:lvl w:ilvl="1" w:tplc="20000019">
      <w:start w:val="1"/>
      <w:numFmt w:val="lowerLetter"/>
      <w:lvlText w:val="%2."/>
      <w:lvlJc w:val="left"/>
      <w:pPr>
        <w:ind w:left="2380" w:hanging="360"/>
      </w:pPr>
    </w:lvl>
    <w:lvl w:ilvl="2" w:tplc="2000001B" w:tentative="1">
      <w:start w:val="1"/>
      <w:numFmt w:val="lowerRoman"/>
      <w:lvlText w:val="%3."/>
      <w:lvlJc w:val="right"/>
      <w:pPr>
        <w:ind w:left="3100" w:hanging="180"/>
      </w:pPr>
    </w:lvl>
    <w:lvl w:ilvl="3" w:tplc="2000000F" w:tentative="1">
      <w:start w:val="1"/>
      <w:numFmt w:val="decimal"/>
      <w:lvlText w:val="%4."/>
      <w:lvlJc w:val="left"/>
      <w:pPr>
        <w:ind w:left="3820" w:hanging="360"/>
      </w:pPr>
    </w:lvl>
    <w:lvl w:ilvl="4" w:tplc="20000019" w:tentative="1">
      <w:start w:val="1"/>
      <w:numFmt w:val="lowerLetter"/>
      <w:lvlText w:val="%5."/>
      <w:lvlJc w:val="left"/>
      <w:pPr>
        <w:ind w:left="4540" w:hanging="360"/>
      </w:pPr>
    </w:lvl>
    <w:lvl w:ilvl="5" w:tplc="2000001B" w:tentative="1">
      <w:start w:val="1"/>
      <w:numFmt w:val="lowerRoman"/>
      <w:lvlText w:val="%6."/>
      <w:lvlJc w:val="right"/>
      <w:pPr>
        <w:ind w:left="5260" w:hanging="180"/>
      </w:pPr>
    </w:lvl>
    <w:lvl w:ilvl="6" w:tplc="2000000F" w:tentative="1">
      <w:start w:val="1"/>
      <w:numFmt w:val="decimal"/>
      <w:lvlText w:val="%7."/>
      <w:lvlJc w:val="left"/>
      <w:pPr>
        <w:ind w:left="5980" w:hanging="360"/>
      </w:pPr>
    </w:lvl>
    <w:lvl w:ilvl="7" w:tplc="20000019" w:tentative="1">
      <w:start w:val="1"/>
      <w:numFmt w:val="lowerLetter"/>
      <w:lvlText w:val="%8."/>
      <w:lvlJc w:val="left"/>
      <w:pPr>
        <w:ind w:left="6700" w:hanging="360"/>
      </w:pPr>
    </w:lvl>
    <w:lvl w:ilvl="8" w:tplc="2000001B" w:tentative="1">
      <w:start w:val="1"/>
      <w:numFmt w:val="lowerRoman"/>
      <w:lvlText w:val="%9."/>
      <w:lvlJc w:val="right"/>
      <w:pPr>
        <w:ind w:left="7420" w:hanging="180"/>
      </w:pPr>
    </w:lvl>
  </w:abstractNum>
  <w:abstractNum w:abstractNumId="36" w15:restartNumberingAfterBreak="0">
    <w:nsid w:val="5F686BA6"/>
    <w:multiLevelType w:val="multilevel"/>
    <w:tmpl w:val="3EDE3AE4"/>
    <w:lvl w:ilvl="0">
      <w:start w:val="2"/>
      <w:numFmt w:val="decimal"/>
      <w:lvlText w:val="%1"/>
      <w:lvlJc w:val="left"/>
      <w:pPr>
        <w:ind w:left="405" w:hanging="405"/>
      </w:pPr>
      <w:rPr>
        <w:rFonts w:eastAsia="Times New Roman" w:cs="Times New Roman" w:hint="default"/>
      </w:rPr>
    </w:lvl>
    <w:lvl w:ilvl="1">
      <w:start w:val="5"/>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37" w15:restartNumberingAfterBreak="0">
    <w:nsid w:val="60FA1EE1"/>
    <w:multiLevelType w:val="multilevel"/>
    <w:tmpl w:val="BE9023E0"/>
    <w:lvl w:ilvl="0">
      <w:start w:val="6"/>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1442A53"/>
    <w:multiLevelType w:val="hybridMultilevel"/>
    <w:tmpl w:val="E3A26A2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8A00A7C"/>
    <w:multiLevelType w:val="multilevel"/>
    <w:tmpl w:val="E0F0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A815A5"/>
    <w:multiLevelType w:val="hybridMultilevel"/>
    <w:tmpl w:val="51E4ED5C"/>
    <w:lvl w:ilvl="0" w:tplc="C92E817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EF85D07"/>
    <w:multiLevelType w:val="hybridMultilevel"/>
    <w:tmpl w:val="75D01544"/>
    <w:lvl w:ilvl="0" w:tplc="E38C1816">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2" w15:restartNumberingAfterBreak="0">
    <w:nsid w:val="71BB6976"/>
    <w:multiLevelType w:val="hybridMultilevel"/>
    <w:tmpl w:val="B42221D8"/>
    <w:lvl w:ilvl="0" w:tplc="9FE00498">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3" w15:restartNumberingAfterBreak="0">
    <w:nsid w:val="721738E6"/>
    <w:multiLevelType w:val="multilevel"/>
    <w:tmpl w:val="01964380"/>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76A2733B"/>
    <w:multiLevelType w:val="hybridMultilevel"/>
    <w:tmpl w:val="D79C399C"/>
    <w:lvl w:ilvl="0" w:tplc="84CCF5B4">
      <w:start w:val="1"/>
      <w:numFmt w:val="lowerRoman"/>
      <w:lvlText w:val="(%1)"/>
      <w:lvlJc w:val="left"/>
      <w:pPr>
        <w:ind w:left="1146" w:hanging="360"/>
      </w:pPr>
      <w:rPr>
        <w:rFonts w:ascii="Bookman Old Style" w:eastAsia="Times New Roman" w:hAnsi="Bookman Old Style" w:cs="Times New Roman"/>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45" w15:restartNumberingAfterBreak="0">
    <w:nsid w:val="790D31A1"/>
    <w:multiLevelType w:val="multilevel"/>
    <w:tmpl w:val="555AD7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7B247526"/>
    <w:multiLevelType w:val="hybridMultilevel"/>
    <w:tmpl w:val="586C7808"/>
    <w:lvl w:ilvl="0" w:tplc="0F1AB8A0">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7D8C29E8"/>
    <w:multiLevelType w:val="multilevel"/>
    <w:tmpl w:val="BCF821A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5"/>
  </w:num>
  <w:num w:numId="2">
    <w:abstractNumId w:val="12"/>
  </w:num>
  <w:num w:numId="3">
    <w:abstractNumId w:val="29"/>
  </w:num>
  <w:num w:numId="4">
    <w:abstractNumId w:val="20"/>
  </w:num>
  <w:num w:numId="5">
    <w:abstractNumId w:val="23"/>
  </w:num>
  <w:num w:numId="6">
    <w:abstractNumId w:val="17"/>
  </w:num>
  <w:num w:numId="7">
    <w:abstractNumId w:val="40"/>
  </w:num>
  <w:num w:numId="8">
    <w:abstractNumId w:val="8"/>
  </w:num>
  <w:num w:numId="9">
    <w:abstractNumId w:val="44"/>
  </w:num>
  <w:num w:numId="10">
    <w:abstractNumId w:val="9"/>
  </w:num>
  <w:num w:numId="11">
    <w:abstractNumId w:val="16"/>
  </w:num>
  <w:num w:numId="12">
    <w:abstractNumId w:val="34"/>
  </w:num>
  <w:num w:numId="13">
    <w:abstractNumId w:val="1"/>
  </w:num>
  <w:num w:numId="14">
    <w:abstractNumId w:val="35"/>
  </w:num>
  <w:num w:numId="15">
    <w:abstractNumId w:val="2"/>
  </w:num>
  <w:num w:numId="16">
    <w:abstractNumId w:val="14"/>
  </w:num>
  <w:num w:numId="17">
    <w:abstractNumId w:val="15"/>
  </w:num>
  <w:num w:numId="18">
    <w:abstractNumId w:val="26"/>
  </w:num>
  <w:num w:numId="19">
    <w:abstractNumId w:val="42"/>
  </w:num>
  <w:num w:numId="20">
    <w:abstractNumId w:val="10"/>
  </w:num>
  <w:num w:numId="21">
    <w:abstractNumId w:val="19"/>
  </w:num>
  <w:num w:numId="22">
    <w:abstractNumId w:val="37"/>
  </w:num>
  <w:num w:numId="23">
    <w:abstractNumId w:val="28"/>
  </w:num>
  <w:num w:numId="24">
    <w:abstractNumId w:val="27"/>
  </w:num>
  <w:num w:numId="25">
    <w:abstractNumId w:val="46"/>
  </w:num>
  <w:num w:numId="26">
    <w:abstractNumId w:val="31"/>
  </w:num>
  <w:num w:numId="27">
    <w:abstractNumId w:val="32"/>
  </w:num>
  <w:num w:numId="28">
    <w:abstractNumId w:val="25"/>
  </w:num>
  <w:num w:numId="29">
    <w:abstractNumId w:val="11"/>
  </w:num>
  <w:num w:numId="30">
    <w:abstractNumId w:val="41"/>
  </w:num>
  <w:num w:numId="31">
    <w:abstractNumId w:val="6"/>
  </w:num>
  <w:num w:numId="32">
    <w:abstractNumId w:val="38"/>
  </w:num>
  <w:num w:numId="33">
    <w:abstractNumId w:val="0"/>
  </w:num>
  <w:num w:numId="34">
    <w:abstractNumId w:val="13"/>
  </w:num>
  <w:num w:numId="35">
    <w:abstractNumId w:val="4"/>
  </w:num>
  <w:num w:numId="36">
    <w:abstractNumId w:val="33"/>
  </w:num>
  <w:num w:numId="37">
    <w:abstractNumId w:val="7"/>
  </w:num>
  <w:num w:numId="38">
    <w:abstractNumId w:val="5"/>
  </w:num>
  <w:num w:numId="39">
    <w:abstractNumId w:val="24"/>
  </w:num>
  <w:num w:numId="40">
    <w:abstractNumId w:val="22"/>
  </w:num>
  <w:num w:numId="41">
    <w:abstractNumId w:val="3"/>
  </w:num>
  <w:num w:numId="42">
    <w:abstractNumId w:val="43"/>
  </w:num>
  <w:num w:numId="43">
    <w:abstractNumId w:val="18"/>
  </w:num>
  <w:num w:numId="44">
    <w:abstractNumId w:val="21"/>
  </w:num>
  <w:num w:numId="45">
    <w:abstractNumId w:val="47"/>
  </w:num>
  <w:num w:numId="46">
    <w:abstractNumId w:val="30"/>
  </w:num>
  <w:num w:numId="47">
    <w:abstractNumId w:val="39"/>
  </w:num>
  <w:num w:numId="48">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B9"/>
    <w:rsid w:val="000000F2"/>
    <w:rsid w:val="000008B6"/>
    <w:rsid w:val="0000121B"/>
    <w:rsid w:val="00001994"/>
    <w:rsid w:val="00002A83"/>
    <w:rsid w:val="00003641"/>
    <w:rsid w:val="00003B45"/>
    <w:rsid w:val="000042DF"/>
    <w:rsid w:val="000049D8"/>
    <w:rsid w:val="000055DC"/>
    <w:rsid w:val="000058B2"/>
    <w:rsid w:val="00005E7A"/>
    <w:rsid w:val="0000784C"/>
    <w:rsid w:val="00007A14"/>
    <w:rsid w:val="00011CBA"/>
    <w:rsid w:val="00013C9C"/>
    <w:rsid w:val="000141AE"/>
    <w:rsid w:val="00014492"/>
    <w:rsid w:val="0001466F"/>
    <w:rsid w:val="000147EB"/>
    <w:rsid w:val="00014E18"/>
    <w:rsid w:val="00016288"/>
    <w:rsid w:val="000179FA"/>
    <w:rsid w:val="00021725"/>
    <w:rsid w:val="000224CF"/>
    <w:rsid w:val="000226A8"/>
    <w:rsid w:val="00023433"/>
    <w:rsid w:val="0002400C"/>
    <w:rsid w:val="00024855"/>
    <w:rsid w:val="0002653E"/>
    <w:rsid w:val="00027F4E"/>
    <w:rsid w:val="00031075"/>
    <w:rsid w:val="000317B2"/>
    <w:rsid w:val="00032579"/>
    <w:rsid w:val="00033E21"/>
    <w:rsid w:val="000346A0"/>
    <w:rsid w:val="0003566D"/>
    <w:rsid w:val="00040EF1"/>
    <w:rsid w:val="000412FB"/>
    <w:rsid w:val="00042249"/>
    <w:rsid w:val="00042836"/>
    <w:rsid w:val="0004312F"/>
    <w:rsid w:val="0004357D"/>
    <w:rsid w:val="00043D00"/>
    <w:rsid w:val="00044A84"/>
    <w:rsid w:val="00044ABE"/>
    <w:rsid w:val="00044DFE"/>
    <w:rsid w:val="00045249"/>
    <w:rsid w:val="00045826"/>
    <w:rsid w:val="00045D2E"/>
    <w:rsid w:val="00046912"/>
    <w:rsid w:val="00047DEA"/>
    <w:rsid w:val="0005149E"/>
    <w:rsid w:val="00051AD7"/>
    <w:rsid w:val="000523AC"/>
    <w:rsid w:val="000523B6"/>
    <w:rsid w:val="000523C9"/>
    <w:rsid w:val="000536AE"/>
    <w:rsid w:val="00053B8F"/>
    <w:rsid w:val="000551C3"/>
    <w:rsid w:val="00056FAE"/>
    <w:rsid w:val="0006021A"/>
    <w:rsid w:val="00062697"/>
    <w:rsid w:val="000630D2"/>
    <w:rsid w:val="00063D99"/>
    <w:rsid w:val="000647F4"/>
    <w:rsid w:val="00065F79"/>
    <w:rsid w:val="0006636E"/>
    <w:rsid w:val="0006740A"/>
    <w:rsid w:val="00073709"/>
    <w:rsid w:val="00073FB9"/>
    <w:rsid w:val="000741AB"/>
    <w:rsid w:val="00074521"/>
    <w:rsid w:val="00077507"/>
    <w:rsid w:val="00081F95"/>
    <w:rsid w:val="00082B57"/>
    <w:rsid w:val="00082D77"/>
    <w:rsid w:val="0008500D"/>
    <w:rsid w:val="0008517D"/>
    <w:rsid w:val="0008585B"/>
    <w:rsid w:val="0008674D"/>
    <w:rsid w:val="00087C2C"/>
    <w:rsid w:val="00090278"/>
    <w:rsid w:val="00090C6B"/>
    <w:rsid w:val="00091E1B"/>
    <w:rsid w:val="000921B5"/>
    <w:rsid w:val="00093EE8"/>
    <w:rsid w:val="000944B8"/>
    <w:rsid w:val="00095A9B"/>
    <w:rsid w:val="00096027"/>
    <w:rsid w:val="00096504"/>
    <w:rsid w:val="0009751E"/>
    <w:rsid w:val="000A087D"/>
    <w:rsid w:val="000A0C10"/>
    <w:rsid w:val="000A26F1"/>
    <w:rsid w:val="000A3533"/>
    <w:rsid w:val="000A35F3"/>
    <w:rsid w:val="000A3635"/>
    <w:rsid w:val="000A61AF"/>
    <w:rsid w:val="000B1367"/>
    <w:rsid w:val="000B32D4"/>
    <w:rsid w:val="000B50BC"/>
    <w:rsid w:val="000B5B88"/>
    <w:rsid w:val="000B7567"/>
    <w:rsid w:val="000C235D"/>
    <w:rsid w:val="000C52F4"/>
    <w:rsid w:val="000C5671"/>
    <w:rsid w:val="000C5F9E"/>
    <w:rsid w:val="000D1F5A"/>
    <w:rsid w:val="000D224F"/>
    <w:rsid w:val="000D333F"/>
    <w:rsid w:val="000D7182"/>
    <w:rsid w:val="000E32A6"/>
    <w:rsid w:val="000E36CE"/>
    <w:rsid w:val="000E4639"/>
    <w:rsid w:val="000E4FBD"/>
    <w:rsid w:val="000E60D4"/>
    <w:rsid w:val="000F067E"/>
    <w:rsid w:val="000F0692"/>
    <w:rsid w:val="000F0E98"/>
    <w:rsid w:val="000F0EE1"/>
    <w:rsid w:val="000F1BB9"/>
    <w:rsid w:val="000F1F7C"/>
    <w:rsid w:val="000F2DAE"/>
    <w:rsid w:val="000F36ED"/>
    <w:rsid w:val="000F3F42"/>
    <w:rsid w:val="000F4A31"/>
    <w:rsid w:val="000F58D8"/>
    <w:rsid w:val="00100AB4"/>
    <w:rsid w:val="00101FD5"/>
    <w:rsid w:val="00102B41"/>
    <w:rsid w:val="00102FBF"/>
    <w:rsid w:val="00103008"/>
    <w:rsid w:val="001035DD"/>
    <w:rsid w:val="0010501E"/>
    <w:rsid w:val="001071D7"/>
    <w:rsid w:val="0010759E"/>
    <w:rsid w:val="001109B7"/>
    <w:rsid w:val="00110FA2"/>
    <w:rsid w:val="0011112B"/>
    <w:rsid w:val="00111A1B"/>
    <w:rsid w:val="00114D63"/>
    <w:rsid w:val="00115E33"/>
    <w:rsid w:val="00116698"/>
    <w:rsid w:val="00120002"/>
    <w:rsid w:val="00120339"/>
    <w:rsid w:val="00120D6A"/>
    <w:rsid w:val="0012152A"/>
    <w:rsid w:val="001223CB"/>
    <w:rsid w:val="00124761"/>
    <w:rsid w:val="001260D1"/>
    <w:rsid w:val="00126316"/>
    <w:rsid w:val="00126B54"/>
    <w:rsid w:val="00133449"/>
    <w:rsid w:val="001335DA"/>
    <w:rsid w:val="00133EDF"/>
    <w:rsid w:val="0013444B"/>
    <w:rsid w:val="00134756"/>
    <w:rsid w:val="00135F35"/>
    <w:rsid w:val="001365D6"/>
    <w:rsid w:val="00136B5E"/>
    <w:rsid w:val="0014099D"/>
    <w:rsid w:val="00142261"/>
    <w:rsid w:val="00142587"/>
    <w:rsid w:val="0014456B"/>
    <w:rsid w:val="001447DD"/>
    <w:rsid w:val="00144AB4"/>
    <w:rsid w:val="00145A58"/>
    <w:rsid w:val="00145ABD"/>
    <w:rsid w:val="00145D47"/>
    <w:rsid w:val="00146073"/>
    <w:rsid w:val="00147ACE"/>
    <w:rsid w:val="00150B3A"/>
    <w:rsid w:val="00152845"/>
    <w:rsid w:val="0015364B"/>
    <w:rsid w:val="001554B7"/>
    <w:rsid w:val="001555F3"/>
    <w:rsid w:val="00155701"/>
    <w:rsid w:val="00155A8D"/>
    <w:rsid w:val="0015708F"/>
    <w:rsid w:val="001578A4"/>
    <w:rsid w:val="00161201"/>
    <w:rsid w:val="00161268"/>
    <w:rsid w:val="00162563"/>
    <w:rsid w:val="0017036C"/>
    <w:rsid w:val="001736E7"/>
    <w:rsid w:val="00173E80"/>
    <w:rsid w:val="001757FF"/>
    <w:rsid w:val="00175924"/>
    <w:rsid w:val="00177591"/>
    <w:rsid w:val="00177F04"/>
    <w:rsid w:val="00177FC6"/>
    <w:rsid w:val="00180CF9"/>
    <w:rsid w:val="00187E66"/>
    <w:rsid w:val="00187F20"/>
    <w:rsid w:val="001916EA"/>
    <w:rsid w:val="0019395E"/>
    <w:rsid w:val="00196C3F"/>
    <w:rsid w:val="001A0459"/>
    <w:rsid w:val="001A0D3C"/>
    <w:rsid w:val="001A1A70"/>
    <w:rsid w:val="001A320B"/>
    <w:rsid w:val="001A4CB5"/>
    <w:rsid w:val="001A5DFF"/>
    <w:rsid w:val="001A697D"/>
    <w:rsid w:val="001B074A"/>
    <w:rsid w:val="001B1F02"/>
    <w:rsid w:val="001B203D"/>
    <w:rsid w:val="001B3BF0"/>
    <w:rsid w:val="001B4BB9"/>
    <w:rsid w:val="001B62CA"/>
    <w:rsid w:val="001B750C"/>
    <w:rsid w:val="001B7E5E"/>
    <w:rsid w:val="001C04DC"/>
    <w:rsid w:val="001C0528"/>
    <w:rsid w:val="001C1031"/>
    <w:rsid w:val="001C32EB"/>
    <w:rsid w:val="001C38AF"/>
    <w:rsid w:val="001C4B2E"/>
    <w:rsid w:val="001C5E88"/>
    <w:rsid w:val="001C624B"/>
    <w:rsid w:val="001C770D"/>
    <w:rsid w:val="001D2AB3"/>
    <w:rsid w:val="001D54B2"/>
    <w:rsid w:val="001D5942"/>
    <w:rsid w:val="001D6B25"/>
    <w:rsid w:val="001D7C76"/>
    <w:rsid w:val="001E03A4"/>
    <w:rsid w:val="001E36C3"/>
    <w:rsid w:val="001E385B"/>
    <w:rsid w:val="001E3968"/>
    <w:rsid w:val="001E4C67"/>
    <w:rsid w:val="001E676C"/>
    <w:rsid w:val="001F220C"/>
    <w:rsid w:val="001F36B0"/>
    <w:rsid w:val="001F43CB"/>
    <w:rsid w:val="001F459F"/>
    <w:rsid w:val="001F5438"/>
    <w:rsid w:val="001F5BBA"/>
    <w:rsid w:val="002038A3"/>
    <w:rsid w:val="00203AC2"/>
    <w:rsid w:val="0020423D"/>
    <w:rsid w:val="002049CF"/>
    <w:rsid w:val="002056C8"/>
    <w:rsid w:val="00206565"/>
    <w:rsid w:val="00210865"/>
    <w:rsid w:val="002114B0"/>
    <w:rsid w:val="00215BC6"/>
    <w:rsid w:val="00215BDB"/>
    <w:rsid w:val="0021768D"/>
    <w:rsid w:val="00223A5D"/>
    <w:rsid w:val="00224846"/>
    <w:rsid w:val="00225773"/>
    <w:rsid w:val="0022581A"/>
    <w:rsid w:val="00226264"/>
    <w:rsid w:val="002309EA"/>
    <w:rsid w:val="00232DCA"/>
    <w:rsid w:val="00232F61"/>
    <w:rsid w:val="00233FC9"/>
    <w:rsid w:val="00234070"/>
    <w:rsid w:val="0023434B"/>
    <w:rsid w:val="0023442E"/>
    <w:rsid w:val="00234D1C"/>
    <w:rsid w:val="002357A7"/>
    <w:rsid w:val="002363D2"/>
    <w:rsid w:val="002374A6"/>
    <w:rsid w:val="002411C3"/>
    <w:rsid w:val="002414BB"/>
    <w:rsid w:val="00242B67"/>
    <w:rsid w:val="00242EDC"/>
    <w:rsid w:val="002430F7"/>
    <w:rsid w:val="002432A7"/>
    <w:rsid w:val="00244257"/>
    <w:rsid w:val="002446A3"/>
    <w:rsid w:val="00245110"/>
    <w:rsid w:val="002455FE"/>
    <w:rsid w:val="0025083A"/>
    <w:rsid w:val="0025129E"/>
    <w:rsid w:val="0025168A"/>
    <w:rsid w:val="002542F8"/>
    <w:rsid w:val="002544D3"/>
    <w:rsid w:val="0025562E"/>
    <w:rsid w:val="0025590B"/>
    <w:rsid w:val="00255DE3"/>
    <w:rsid w:val="00256AEE"/>
    <w:rsid w:val="00260A1D"/>
    <w:rsid w:val="00260AD2"/>
    <w:rsid w:val="00260B49"/>
    <w:rsid w:val="00260BD9"/>
    <w:rsid w:val="00262C0A"/>
    <w:rsid w:val="00265440"/>
    <w:rsid w:val="00265BB8"/>
    <w:rsid w:val="00266AF1"/>
    <w:rsid w:val="00270BF1"/>
    <w:rsid w:val="00271771"/>
    <w:rsid w:val="002720F7"/>
    <w:rsid w:val="002725CD"/>
    <w:rsid w:val="0027389C"/>
    <w:rsid w:val="00274B6F"/>
    <w:rsid w:val="00274EC4"/>
    <w:rsid w:val="00277F2B"/>
    <w:rsid w:val="002804B4"/>
    <w:rsid w:val="002813DD"/>
    <w:rsid w:val="00281D53"/>
    <w:rsid w:val="00282E93"/>
    <w:rsid w:val="0028439F"/>
    <w:rsid w:val="00286ADF"/>
    <w:rsid w:val="0028705E"/>
    <w:rsid w:val="00290E48"/>
    <w:rsid w:val="0029139E"/>
    <w:rsid w:val="00294390"/>
    <w:rsid w:val="002946E4"/>
    <w:rsid w:val="00296726"/>
    <w:rsid w:val="002A0CBA"/>
    <w:rsid w:val="002A13FA"/>
    <w:rsid w:val="002A36CF"/>
    <w:rsid w:val="002A3F89"/>
    <w:rsid w:val="002A4336"/>
    <w:rsid w:val="002A4CD7"/>
    <w:rsid w:val="002A63C5"/>
    <w:rsid w:val="002A7BE3"/>
    <w:rsid w:val="002B0121"/>
    <w:rsid w:val="002B1464"/>
    <w:rsid w:val="002B16D5"/>
    <w:rsid w:val="002B2EA8"/>
    <w:rsid w:val="002B2FF8"/>
    <w:rsid w:val="002B32AB"/>
    <w:rsid w:val="002B3830"/>
    <w:rsid w:val="002B4216"/>
    <w:rsid w:val="002B66CA"/>
    <w:rsid w:val="002C024F"/>
    <w:rsid w:val="002C2068"/>
    <w:rsid w:val="002C2D9C"/>
    <w:rsid w:val="002C2F11"/>
    <w:rsid w:val="002C68AE"/>
    <w:rsid w:val="002C6AD1"/>
    <w:rsid w:val="002D13AF"/>
    <w:rsid w:val="002D22EA"/>
    <w:rsid w:val="002D2AF6"/>
    <w:rsid w:val="002D3899"/>
    <w:rsid w:val="002D41BE"/>
    <w:rsid w:val="002D49EC"/>
    <w:rsid w:val="002D4D15"/>
    <w:rsid w:val="002D5823"/>
    <w:rsid w:val="002D5AD9"/>
    <w:rsid w:val="002D5B66"/>
    <w:rsid w:val="002D6151"/>
    <w:rsid w:val="002D6B33"/>
    <w:rsid w:val="002D745B"/>
    <w:rsid w:val="002E0945"/>
    <w:rsid w:val="002E0E1B"/>
    <w:rsid w:val="002E2F0E"/>
    <w:rsid w:val="002F0AB2"/>
    <w:rsid w:val="002F0E68"/>
    <w:rsid w:val="002F274C"/>
    <w:rsid w:val="002F356E"/>
    <w:rsid w:val="002F3D5C"/>
    <w:rsid w:val="002F4992"/>
    <w:rsid w:val="002F564A"/>
    <w:rsid w:val="003010B9"/>
    <w:rsid w:val="00301A3B"/>
    <w:rsid w:val="00301ED9"/>
    <w:rsid w:val="00305ECA"/>
    <w:rsid w:val="00307FEC"/>
    <w:rsid w:val="00311CE2"/>
    <w:rsid w:val="0031214C"/>
    <w:rsid w:val="003127FA"/>
    <w:rsid w:val="00313975"/>
    <w:rsid w:val="00315859"/>
    <w:rsid w:val="003169C0"/>
    <w:rsid w:val="00317E27"/>
    <w:rsid w:val="0032004B"/>
    <w:rsid w:val="003209D2"/>
    <w:rsid w:val="0032142E"/>
    <w:rsid w:val="00322205"/>
    <w:rsid w:val="0032497B"/>
    <w:rsid w:val="00324A06"/>
    <w:rsid w:val="00325F91"/>
    <w:rsid w:val="00326E05"/>
    <w:rsid w:val="00327811"/>
    <w:rsid w:val="00331664"/>
    <w:rsid w:val="00333E5E"/>
    <w:rsid w:val="00334337"/>
    <w:rsid w:val="00334DF4"/>
    <w:rsid w:val="00334F42"/>
    <w:rsid w:val="003379C8"/>
    <w:rsid w:val="003413EA"/>
    <w:rsid w:val="0034345C"/>
    <w:rsid w:val="00343B92"/>
    <w:rsid w:val="003451D2"/>
    <w:rsid w:val="003474BC"/>
    <w:rsid w:val="00347672"/>
    <w:rsid w:val="00347BC3"/>
    <w:rsid w:val="00354CDE"/>
    <w:rsid w:val="003558A1"/>
    <w:rsid w:val="00356FB3"/>
    <w:rsid w:val="00357DC3"/>
    <w:rsid w:val="0036085E"/>
    <w:rsid w:val="003616A5"/>
    <w:rsid w:val="00362916"/>
    <w:rsid w:val="00363585"/>
    <w:rsid w:val="003644D1"/>
    <w:rsid w:val="00370EF2"/>
    <w:rsid w:val="00372355"/>
    <w:rsid w:val="00372398"/>
    <w:rsid w:val="00372F44"/>
    <w:rsid w:val="003732F6"/>
    <w:rsid w:val="00374708"/>
    <w:rsid w:val="00375219"/>
    <w:rsid w:val="00375337"/>
    <w:rsid w:val="0037645D"/>
    <w:rsid w:val="00376C56"/>
    <w:rsid w:val="003778C6"/>
    <w:rsid w:val="0038064A"/>
    <w:rsid w:val="0038312D"/>
    <w:rsid w:val="00386F74"/>
    <w:rsid w:val="0038728D"/>
    <w:rsid w:val="003879AE"/>
    <w:rsid w:val="0039029F"/>
    <w:rsid w:val="00390816"/>
    <w:rsid w:val="00391792"/>
    <w:rsid w:val="0039216E"/>
    <w:rsid w:val="00392B8A"/>
    <w:rsid w:val="00392C21"/>
    <w:rsid w:val="00394807"/>
    <w:rsid w:val="00395AA2"/>
    <w:rsid w:val="003A3690"/>
    <w:rsid w:val="003A4128"/>
    <w:rsid w:val="003A5AFC"/>
    <w:rsid w:val="003A6137"/>
    <w:rsid w:val="003A725E"/>
    <w:rsid w:val="003A7740"/>
    <w:rsid w:val="003B07BF"/>
    <w:rsid w:val="003B39A9"/>
    <w:rsid w:val="003B3C83"/>
    <w:rsid w:val="003B4037"/>
    <w:rsid w:val="003B41C9"/>
    <w:rsid w:val="003B60E9"/>
    <w:rsid w:val="003B7D06"/>
    <w:rsid w:val="003C041C"/>
    <w:rsid w:val="003C0463"/>
    <w:rsid w:val="003C0CB9"/>
    <w:rsid w:val="003C1D57"/>
    <w:rsid w:val="003C1F52"/>
    <w:rsid w:val="003C2D49"/>
    <w:rsid w:val="003C5F5D"/>
    <w:rsid w:val="003C6683"/>
    <w:rsid w:val="003D02B5"/>
    <w:rsid w:val="003D3FB0"/>
    <w:rsid w:val="003D5E16"/>
    <w:rsid w:val="003D5E35"/>
    <w:rsid w:val="003D76FC"/>
    <w:rsid w:val="003E03EA"/>
    <w:rsid w:val="003E0C2A"/>
    <w:rsid w:val="003E241B"/>
    <w:rsid w:val="003E3020"/>
    <w:rsid w:val="003E382D"/>
    <w:rsid w:val="003E5097"/>
    <w:rsid w:val="003F0C93"/>
    <w:rsid w:val="003F1D8F"/>
    <w:rsid w:val="004025F9"/>
    <w:rsid w:val="0040302D"/>
    <w:rsid w:val="00403136"/>
    <w:rsid w:val="00405545"/>
    <w:rsid w:val="00405653"/>
    <w:rsid w:val="00405CF6"/>
    <w:rsid w:val="00410243"/>
    <w:rsid w:val="00410E66"/>
    <w:rsid w:val="004114DB"/>
    <w:rsid w:val="0041180D"/>
    <w:rsid w:val="00413C40"/>
    <w:rsid w:val="00414A17"/>
    <w:rsid w:val="004156BB"/>
    <w:rsid w:val="00415942"/>
    <w:rsid w:val="00415A76"/>
    <w:rsid w:val="00415CD8"/>
    <w:rsid w:val="00417209"/>
    <w:rsid w:val="004172F2"/>
    <w:rsid w:val="0042019B"/>
    <w:rsid w:val="00421025"/>
    <w:rsid w:val="0042261F"/>
    <w:rsid w:val="004233D7"/>
    <w:rsid w:val="004236BE"/>
    <w:rsid w:val="00425EBB"/>
    <w:rsid w:val="00426674"/>
    <w:rsid w:val="00427875"/>
    <w:rsid w:val="0043059A"/>
    <w:rsid w:val="0043343E"/>
    <w:rsid w:val="00433BC6"/>
    <w:rsid w:val="00433F86"/>
    <w:rsid w:val="004355A0"/>
    <w:rsid w:val="00435651"/>
    <w:rsid w:val="00436BCD"/>
    <w:rsid w:val="00440333"/>
    <w:rsid w:val="00441107"/>
    <w:rsid w:val="004419C5"/>
    <w:rsid w:val="00445E0B"/>
    <w:rsid w:val="004464AB"/>
    <w:rsid w:val="0044653F"/>
    <w:rsid w:val="0044684A"/>
    <w:rsid w:val="004478E9"/>
    <w:rsid w:val="004502D7"/>
    <w:rsid w:val="004504A0"/>
    <w:rsid w:val="0045091E"/>
    <w:rsid w:val="00451822"/>
    <w:rsid w:val="00453AF7"/>
    <w:rsid w:val="00453E31"/>
    <w:rsid w:val="00453F3B"/>
    <w:rsid w:val="00454169"/>
    <w:rsid w:val="00460EFF"/>
    <w:rsid w:val="00461BA4"/>
    <w:rsid w:val="00462A74"/>
    <w:rsid w:val="00462D33"/>
    <w:rsid w:val="00466B71"/>
    <w:rsid w:val="0047172D"/>
    <w:rsid w:val="00471BBC"/>
    <w:rsid w:val="00472B60"/>
    <w:rsid w:val="0047370D"/>
    <w:rsid w:val="00474034"/>
    <w:rsid w:val="00474401"/>
    <w:rsid w:val="00474417"/>
    <w:rsid w:val="004744C0"/>
    <w:rsid w:val="0047508D"/>
    <w:rsid w:val="00475FB7"/>
    <w:rsid w:val="0047630C"/>
    <w:rsid w:val="0047741A"/>
    <w:rsid w:val="00477E2C"/>
    <w:rsid w:val="004800FD"/>
    <w:rsid w:val="0048342F"/>
    <w:rsid w:val="0048424C"/>
    <w:rsid w:val="004875B1"/>
    <w:rsid w:val="0049023D"/>
    <w:rsid w:val="00490F8C"/>
    <w:rsid w:val="00491216"/>
    <w:rsid w:val="004915CE"/>
    <w:rsid w:val="004924FB"/>
    <w:rsid w:val="00492999"/>
    <w:rsid w:val="004934C4"/>
    <w:rsid w:val="0049361B"/>
    <w:rsid w:val="00493EB9"/>
    <w:rsid w:val="004962CF"/>
    <w:rsid w:val="0049651C"/>
    <w:rsid w:val="004A0F7A"/>
    <w:rsid w:val="004A135B"/>
    <w:rsid w:val="004A166F"/>
    <w:rsid w:val="004A3F3A"/>
    <w:rsid w:val="004A512B"/>
    <w:rsid w:val="004A5474"/>
    <w:rsid w:val="004A5E04"/>
    <w:rsid w:val="004A5FAD"/>
    <w:rsid w:val="004A71FE"/>
    <w:rsid w:val="004B0A69"/>
    <w:rsid w:val="004B2D44"/>
    <w:rsid w:val="004B2E6A"/>
    <w:rsid w:val="004B302C"/>
    <w:rsid w:val="004B31A7"/>
    <w:rsid w:val="004B4093"/>
    <w:rsid w:val="004B49C4"/>
    <w:rsid w:val="004B5A50"/>
    <w:rsid w:val="004B5F66"/>
    <w:rsid w:val="004B6212"/>
    <w:rsid w:val="004B682A"/>
    <w:rsid w:val="004B697B"/>
    <w:rsid w:val="004B7E99"/>
    <w:rsid w:val="004B7F0B"/>
    <w:rsid w:val="004C28DD"/>
    <w:rsid w:val="004C2A80"/>
    <w:rsid w:val="004C3557"/>
    <w:rsid w:val="004C652F"/>
    <w:rsid w:val="004C6934"/>
    <w:rsid w:val="004D0134"/>
    <w:rsid w:val="004D0BE3"/>
    <w:rsid w:val="004D2ABF"/>
    <w:rsid w:val="004D575F"/>
    <w:rsid w:val="004E26C1"/>
    <w:rsid w:val="004E3AF2"/>
    <w:rsid w:val="004E69EC"/>
    <w:rsid w:val="004F0D6F"/>
    <w:rsid w:val="004F11BB"/>
    <w:rsid w:val="004F1594"/>
    <w:rsid w:val="004F1868"/>
    <w:rsid w:val="004F1911"/>
    <w:rsid w:val="004F1DC0"/>
    <w:rsid w:val="004F34E8"/>
    <w:rsid w:val="004F3BFB"/>
    <w:rsid w:val="004F4069"/>
    <w:rsid w:val="004F4285"/>
    <w:rsid w:val="004F43B3"/>
    <w:rsid w:val="004F5184"/>
    <w:rsid w:val="004F53C5"/>
    <w:rsid w:val="004F61DA"/>
    <w:rsid w:val="0050016E"/>
    <w:rsid w:val="0050033F"/>
    <w:rsid w:val="00501846"/>
    <w:rsid w:val="0050514A"/>
    <w:rsid w:val="005058CD"/>
    <w:rsid w:val="00505E70"/>
    <w:rsid w:val="00506004"/>
    <w:rsid w:val="00506216"/>
    <w:rsid w:val="00506645"/>
    <w:rsid w:val="0051019C"/>
    <w:rsid w:val="00510581"/>
    <w:rsid w:val="00511A05"/>
    <w:rsid w:val="0051229F"/>
    <w:rsid w:val="00520B26"/>
    <w:rsid w:val="00520EA0"/>
    <w:rsid w:val="00521189"/>
    <w:rsid w:val="005219B5"/>
    <w:rsid w:val="005220CF"/>
    <w:rsid w:val="00522472"/>
    <w:rsid w:val="00522C54"/>
    <w:rsid w:val="005271FC"/>
    <w:rsid w:val="0053371B"/>
    <w:rsid w:val="00533E20"/>
    <w:rsid w:val="0053481A"/>
    <w:rsid w:val="00534888"/>
    <w:rsid w:val="00535C25"/>
    <w:rsid w:val="0053619F"/>
    <w:rsid w:val="005364DC"/>
    <w:rsid w:val="00536BB8"/>
    <w:rsid w:val="00536D30"/>
    <w:rsid w:val="005376BB"/>
    <w:rsid w:val="00540157"/>
    <w:rsid w:val="00541ED0"/>
    <w:rsid w:val="005433D3"/>
    <w:rsid w:val="005442EB"/>
    <w:rsid w:val="00544F49"/>
    <w:rsid w:val="00547B09"/>
    <w:rsid w:val="00550FD1"/>
    <w:rsid w:val="00551172"/>
    <w:rsid w:val="00552C12"/>
    <w:rsid w:val="00553163"/>
    <w:rsid w:val="00554CA6"/>
    <w:rsid w:val="0055600A"/>
    <w:rsid w:val="005573AD"/>
    <w:rsid w:val="00561234"/>
    <w:rsid w:val="00562CE2"/>
    <w:rsid w:val="0056541E"/>
    <w:rsid w:val="005662E0"/>
    <w:rsid w:val="005701ED"/>
    <w:rsid w:val="00570517"/>
    <w:rsid w:val="00570A81"/>
    <w:rsid w:val="005736FC"/>
    <w:rsid w:val="00574264"/>
    <w:rsid w:val="0057438D"/>
    <w:rsid w:val="0057491C"/>
    <w:rsid w:val="0057559E"/>
    <w:rsid w:val="00576373"/>
    <w:rsid w:val="00580F97"/>
    <w:rsid w:val="0058250D"/>
    <w:rsid w:val="00582A1A"/>
    <w:rsid w:val="00582B47"/>
    <w:rsid w:val="00582E0B"/>
    <w:rsid w:val="0058323C"/>
    <w:rsid w:val="005832D7"/>
    <w:rsid w:val="00583384"/>
    <w:rsid w:val="005844F3"/>
    <w:rsid w:val="005868CF"/>
    <w:rsid w:val="00586E38"/>
    <w:rsid w:val="00590CA1"/>
    <w:rsid w:val="005921B0"/>
    <w:rsid w:val="00592D19"/>
    <w:rsid w:val="00592F57"/>
    <w:rsid w:val="00594319"/>
    <w:rsid w:val="00594EC0"/>
    <w:rsid w:val="00595D73"/>
    <w:rsid w:val="00597D8C"/>
    <w:rsid w:val="005A0852"/>
    <w:rsid w:val="005A1FF8"/>
    <w:rsid w:val="005A20E8"/>
    <w:rsid w:val="005A23BE"/>
    <w:rsid w:val="005A35FB"/>
    <w:rsid w:val="005A4CDB"/>
    <w:rsid w:val="005A5959"/>
    <w:rsid w:val="005A59C7"/>
    <w:rsid w:val="005A5BF5"/>
    <w:rsid w:val="005A5D97"/>
    <w:rsid w:val="005A5EEE"/>
    <w:rsid w:val="005A612B"/>
    <w:rsid w:val="005A6C87"/>
    <w:rsid w:val="005A741E"/>
    <w:rsid w:val="005B1218"/>
    <w:rsid w:val="005B1FAD"/>
    <w:rsid w:val="005B2887"/>
    <w:rsid w:val="005B28E6"/>
    <w:rsid w:val="005B2E06"/>
    <w:rsid w:val="005B3A6A"/>
    <w:rsid w:val="005B55C5"/>
    <w:rsid w:val="005B6D37"/>
    <w:rsid w:val="005B7B18"/>
    <w:rsid w:val="005C1FED"/>
    <w:rsid w:val="005C5500"/>
    <w:rsid w:val="005C71B3"/>
    <w:rsid w:val="005C7A84"/>
    <w:rsid w:val="005D0767"/>
    <w:rsid w:val="005D0AFA"/>
    <w:rsid w:val="005D1267"/>
    <w:rsid w:val="005D2D56"/>
    <w:rsid w:val="005D3BBF"/>
    <w:rsid w:val="005D4B18"/>
    <w:rsid w:val="005D55C2"/>
    <w:rsid w:val="005D5C8D"/>
    <w:rsid w:val="005D70C2"/>
    <w:rsid w:val="005D70CB"/>
    <w:rsid w:val="005D7584"/>
    <w:rsid w:val="005D77E4"/>
    <w:rsid w:val="005E0CD0"/>
    <w:rsid w:val="005E111A"/>
    <w:rsid w:val="005E25EF"/>
    <w:rsid w:val="005E4600"/>
    <w:rsid w:val="005E58B7"/>
    <w:rsid w:val="005E5995"/>
    <w:rsid w:val="005E6C25"/>
    <w:rsid w:val="005F170B"/>
    <w:rsid w:val="005F348E"/>
    <w:rsid w:val="005F46C5"/>
    <w:rsid w:val="005F570F"/>
    <w:rsid w:val="0060031C"/>
    <w:rsid w:val="00600E0D"/>
    <w:rsid w:val="00603E65"/>
    <w:rsid w:val="0060687A"/>
    <w:rsid w:val="006077F9"/>
    <w:rsid w:val="00610031"/>
    <w:rsid w:val="0061049E"/>
    <w:rsid w:val="00610EDA"/>
    <w:rsid w:val="0061102F"/>
    <w:rsid w:val="00613973"/>
    <w:rsid w:val="00614582"/>
    <w:rsid w:val="00620176"/>
    <w:rsid w:val="00621753"/>
    <w:rsid w:val="006227F4"/>
    <w:rsid w:val="00624395"/>
    <w:rsid w:val="00626F62"/>
    <w:rsid w:val="00627173"/>
    <w:rsid w:val="00627D22"/>
    <w:rsid w:val="00630057"/>
    <w:rsid w:val="00632C77"/>
    <w:rsid w:val="00633A4A"/>
    <w:rsid w:val="00633CC5"/>
    <w:rsid w:val="00634B06"/>
    <w:rsid w:val="00634CE0"/>
    <w:rsid w:val="006352EA"/>
    <w:rsid w:val="0064051A"/>
    <w:rsid w:val="00640A9C"/>
    <w:rsid w:val="00640C54"/>
    <w:rsid w:val="006411A0"/>
    <w:rsid w:val="00641D59"/>
    <w:rsid w:val="00642110"/>
    <w:rsid w:val="00643137"/>
    <w:rsid w:val="0064467D"/>
    <w:rsid w:val="0064488A"/>
    <w:rsid w:val="00644D7C"/>
    <w:rsid w:val="00644F6F"/>
    <w:rsid w:val="00646CE0"/>
    <w:rsid w:val="00650815"/>
    <w:rsid w:val="00650AAE"/>
    <w:rsid w:val="00655C9A"/>
    <w:rsid w:val="0065604E"/>
    <w:rsid w:val="006602F1"/>
    <w:rsid w:val="0066117D"/>
    <w:rsid w:val="0066255D"/>
    <w:rsid w:val="00662746"/>
    <w:rsid w:val="00664C56"/>
    <w:rsid w:val="006651C6"/>
    <w:rsid w:val="006703AE"/>
    <w:rsid w:val="0067074D"/>
    <w:rsid w:val="00672D3A"/>
    <w:rsid w:val="00674E15"/>
    <w:rsid w:val="00675764"/>
    <w:rsid w:val="00675C27"/>
    <w:rsid w:val="00680074"/>
    <w:rsid w:val="00680CAC"/>
    <w:rsid w:val="00683675"/>
    <w:rsid w:val="0068460F"/>
    <w:rsid w:val="00686111"/>
    <w:rsid w:val="00686683"/>
    <w:rsid w:val="00686DBE"/>
    <w:rsid w:val="006873C2"/>
    <w:rsid w:val="0069041D"/>
    <w:rsid w:val="006912D3"/>
    <w:rsid w:val="0069249A"/>
    <w:rsid w:val="00693272"/>
    <w:rsid w:val="0069328B"/>
    <w:rsid w:val="00694131"/>
    <w:rsid w:val="00694497"/>
    <w:rsid w:val="00694A33"/>
    <w:rsid w:val="00696913"/>
    <w:rsid w:val="006A4F18"/>
    <w:rsid w:val="006A5C83"/>
    <w:rsid w:val="006A6AA8"/>
    <w:rsid w:val="006A7823"/>
    <w:rsid w:val="006B030F"/>
    <w:rsid w:val="006B0C8D"/>
    <w:rsid w:val="006B1F50"/>
    <w:rsid w:val="006B2629"/>
    <w:rsid w:val="006B2806"/>
    <w:rsid w:val="006B2A68"/>
    <w:rsid w:val="006B3B28"/>
    <w:rsid w:val="006B481D"/>
    <w:rsid w:val="006B577C"/>
    <w:rsid w:val="006B673C"/>
    <w:rsid w:val="006B6BF8"/>
    <w:rsid w:val="006C0C8A"/>
    <w:rsid w:val="006C2963"/>
    <w:rsid w:val="006C3201"/>
    <w:rsid w:val="006C43E6"/>
    <w:rsid w:val="006C558F"/>
    <w:rsid w:val="006C5DC8"/>
    <w:rsid w:val="006C677A"/>
    <w:rsid w:val="006C6AD5"/>
    <w:rsid w:val="006C73B1"/>
    <w:rsid w:val="006D06FF"/>
    <w:rsid w:val="006D070B"/>
    <w:rsid w:val="006D1C6F"/>
    <w:rsid w:val="006D1D4E"/>
    <w:rsid w:val="006D2021"/>
    <w:rsid w:val="006D38CC"/>
    <w:rsid w:val="006D43C0"/>
    <w:rsid w:val="006D617A"/>
    <w:rsid w:val="006D619F"/>
    <w:rsid w:val="006D6835"/>
    <w:rsid w:val="006D7758"/>
    <w:rsid w:val="006D7A34"/>
    <w:rsid w:val="006D7FD1"/>
    <w:rsid w:val="006E071C"/>
    <w:rsid w:val="006E0FD2"/>
    <w:rsid w:val="006E1A85"/>
    <w:rsid w:val="006E3095"/>
    <w:rsid w:val="006E3456"/>
    <w:rsid w:val="006E498B"/>
    <w:rsid w:val="006E5C37"/>
    <w:rsid w:val="006E6CFE"/>
    <w:rsid w:val="006E6D8F"/>
    <w:rsid w:val="006E73D6"/>
    <w:rsid w:val="006E7F58"/>
    <w:rsid w:val="006F2206"/>
    <w:rsid w:val="006F4F36"/>
    <w:rsid w:val="006F52B2"/>
    <w:rsid w:val="006F7F0F"/>
    <w:rsid w:val="00701AAC"/>
    <w:rsid w:val="007029B4"/>
    <w:rsid w:val="00703402"/>
    <w:rsid w:val="00703FE6"/>
    <w:rsid w:val="007054D1"/>
    <w:rsid w:val="00705736"/>
    <w:rsid w:val="00705DA3"/>
    <w:rsid w:val="00707404"/>
    <w:rsid w:val="007077ED"/>
    <w:rsid w:val="00707AC9"/>
    <w:rsid w:val="00710161"/>
    <w:rsid w:val="0071096F"/>
    <w:rsid w:val="00710CB9"/>
    <w:rsid w:val="00711B42"/>
    <w:rsid w:val="007127BE"/>
    <w:rsid w:val="0071315C"/>
    <w:rsid w:val="00713AAA"/>
    <w:rsid w:val="00714224"/>
    <w:rsid w:val="00714230"/>
    <w:rsid w:val="007149DE"/>
    <w:rsid w:val="00714BA3"/>
    <w:rsid w:val="007158C4"/>
    <w:rsid w:val="00721DD2"/>
    <w:rsid w:val="00723CAE"/>
    <w:rsid w:val="00725B63"/>
    <w:rsid w:val="00727980"/>
    <w:rsid w:val="00731108"/>
    <w:rsid w:val="00731692"/>
    <w:rsid w:val="00732670"/>
    <w:rsid w:val="0073589C"/>
    <w:rsid w:val="007359B0"/>
    <w:rsid w:val="00735D6F"/>
    <w:rsid w:val="007365ED"/>
    <w:rsid w:val="007454CE"/>
    <w:rsid w:val="00746618"/>
    <w:rsid w:val="007473A6"/>
    <w:rsid w:val="007477AD"/>
    <w:rsid w:val="00747BDE"/>
    <w:rsid w:val="00747CF9"/>
    <w:rsid w:val="00750C4C"/>
    <w:rsid w:val="00752A3C"/>
    <w:rsid w:val="00753033"/>
    <w:rsid w:val="00755B73"/>
    <w:rsid w:val="00755D9A"/>
    <w:rsid w:val="00756F44"/>
    <w:rsid w:val="0075739B"/>
    <w:rsid w:val="00757F54"/>
    <w:rsid w:val="00760258"/>
    <w:rsid w:val="00762F64"/>
    <w:rsid w:val="00763608"/>
    <w:rsid w:val="0076417E"/>
    <w:rsid w:val="007643DF"/>
    <w:rsid w:val="00764B58"/>
    <w:rsid w:val="007655C4"/>
    <w:rsid w:val="007674FD"/>
    <w:rsid w:val="0077157B"/>
    <w:rsid w:val="0077221F"/>
    <w:rsid w:val="007762A9"/>
    <w:rsid w:val="00780230"/>
    <w:rsid w:val="007814B6"/>
    <w:rsid w:val="0078225D"/>
    <w:rsid w:val="00783F71"/>
    <w:rsid w:val="007843D9"/>
    <w:rsid w:val="00785E77"/>
    <w:rsid w:val="007905CA"/>
    <w:rsid w:val="0079163A"/>
    <w:rsid w:val="007922F2"/>
    <w:rsid w:val="00795546"/>
    <w:rsid w:val="00796304"/>
    <w:rsid w:val="0079662D"/>
    <w:rsid w:val="0079787E"/>
    <w:rsid w:val="007A0147"/>
    <w:rsid w:val="007A1A7F"/>
    <w:rsid w:val="007A2399"/>
    <w:rsid w:val="007A2BFC"/>
    <w:rsid w:val="007A2FFE"/>
    <w:rsid w:val="007A40E0"/>
    <w:rsid w:val="007A5B77"/>
    <w:rsid w:val="007A6D9C"/>
    <w:rsid w:val="007A7144"/>
    <w:rsid w:val="007B2F6C"/>
    <w:rsid w:val="007B3189"/>
    <w:rsid w:val="007B470E"/>
    <w:rsid w:val="007B4B96"/>
    <w:rsid w:val="007B521E"/>
    <w:rsid w:val="007B6568"/>
    <w:rsid w:val="007B74B3"/>
    <w:rsid w:val="007C201D"/>
    <w:rsid w:val="007C28F1"/>
    <w:rsid w:val="007C49C8"/>
    <w:rsid w:val="007C6F46"/>
    <w:rsid w:val="007D0C7A"/>
    <w:rsid w:val="007D13FE"/>
    <w:rsid w:val="007D24BA"/>
    <w:rsid w:val="007D62BE"/>
    <w:rsid w:val="007D6F21"/>
    <w:rsid w:val="007D742E"/>
    <w:rsid w:val="007E1F7E"/>
    <w:rsid w:val="007E1F98"/>
    <w:rsid w:val="007E2EAF"/>
    <w:rsid w:val="007E2F9A"/>
    <w:rsid w:val="007E38F9"/>
    <w:rsid w:val="007E639A"/>
    <w:rsid w:val="007E72DA"/>
    <w:rsid w:val="007E795B"/>
    <w:rsid w:val="007F0BF2"/>
    <w:rsid w:val="007F0D9A"/>
    <w:rsid w:val="007F145F"/>
    <w:rsid w:val="007F2D11"/>
    <w:rsid w:val="007F4997"/>
    <w:rsid w:val="007F574C"/>
    <w:rsid w:val="007F72DA"/>
    <w:rsid w:val="007F74D8"/>
    <w:rsid w:val="007F7B52"/>
    <w:rsid w:val="008001F2"/>
    <w:rsid w:val="00801ED3"/>
    <w:rsid w:val="0080420A"/>
    <w:rsid w:val="008055AA"/>
    <w:rsid w:val="00806D4A"/>
    <w:rsid w:val="00806D96"/>
    <w:rsid w:val="00806E3A"/>
    <w:rsid w:val="00807658"/>
    <w:rsid w:val="00810A3F"/>
    <w:rsid w:val="00810C6B"/>
    <w:rsid w:val="008136F0"/>
    <w:rsid w:val="00814283"/>
    <w:rsid w:val="00814B4A"/>
    <w:rsid w:val="00814D13"/>
    <w:rsid w:val="0082232F"/>
    <w:rsid w:val="008227F7"/>
    <w:rsid w:val="0082304F"/>
    <w:rsid w:val="00824000"/>
    <w:rsid w:val="0082778B"/>
    <w:rsid w:val="008313DB"/>
    <w:rsid w:val="00832D9D"/>
    <w:rsid w:val="00832F70"/>
    <w:rsid w:val="00833730"/>
    <w:rsid w:val="0083507F"/>
    <w:rsid w:val="008365F1"/>
    <w:rsid w:val="0083667B"/>
    <w:rsid w:val="00836A23"/>
    <w:rsid w:val="00837088"/>
    <w:rsid w:val="008375B8"/>
    <w:rsid w:val="00840CEA"/>
    <w:rsid w:val="00841C10"/>
    <w:rsid w:val="0084387D"/>
    <w:rsid w:val="008440FD"/>
    <w:rsid w:val="008444BC"/>
    <w:rsid w:val="00844923"/>
    <w:rsid w:val="008456C3"/>
    <w:rsid w:val="00845C4F"/>
    <w:rsid w:val="0084789A"/>
    <w:rsid w:val="0084791C"/>
    <w:rsid w:val="00851C07"/>
    <w:rsid w:val="00852CF6"/>
    <w:rsid w:val="008563B9"/>
    <w:rsid w:val="008578BA"/>
    <w:rsid w:val="00857B78"/>
    <w:rsid w:val="008622C0"/>
    <w:rsid w:val="00862C1D"/>
    <w:rsid w:val="00862F67"/>
    <w:rsid w:val="0086376A"/>
    <w:rsid w:val="00863797"/>
    <w:rsid w:val="00863937"/>
    <w:rsid w:val="00863BC4"/>
    <w:rsid w:val="00864791"/>
    <w:rsid w:val="00864F50"/>
    <w:rsid w:val="00867B69"/>
    <w:rsid w:val="0087021D"/>
    <w:rsid w:val="0087050E"/>
    <w:rsid w:val="008716F5"/>
    <w:rsid w:val="00871751"/>
    <w:rsid w:val="00874AEC"/>
    <w:rsid w:val="00874E2E"/>
    <w:rsid w:val="00875049"/>
    <w:rsid w:val="00876221"/>
    <w:rsid w:val="008770AB"/>
    <w:rsid w:val="00877E1B"/>
    <w:rsid w:val="00884601"/>
    <w:rsid w:val="0088608A"/>
    <w:rsid w:val="00887766"/>
    <w:rsid w:val="00890F16"/>
    <w:rsid w:val="008914CE"/>
    <w:rsid w:val="00893244"/>
    <w:rsid w:val="008949D9"/>
    <w:rsid w:val="008A03FC"/>
    <w:rsid w:val="008A0C99"/>
    <w:rsid w:val="008A109C"/>
    <w:rsid w:val="008A21F5"/>
    <w:rsid w:val="008A336B"/>
    <w:rsid w:val="008A4141"/>
    <w:rsid w:val="008A453E"/>
    <w:rsid w:val="008A4B5E"/>
    <w:rsid w:val="008A59E5"/>
    <w:rsid w:val="008A7476"/>
    <w:rsid w:val="008B1E69"/>
    <w:rsid w:val="008B317D"/>
    <w:rsid w:val="008B36BB"/>
    <w:rsid w:val="008B458F"/>
    <w:rsid w:val="008B5A40"/>
    <w:rsid w:val="008B6628"/>
    <w:rsid w:val="008C0822"/>
    <w:rsid w:val="008C0906"/>
    <w:rsid w:val="008C28E4"/>
    <w:rsid w:val="008C4258"/>
    <w:rsid w:val="008C4BAF"/>
    <w:rsid w:val="008C4CB9"/>
    <w:rsid w:val="008C4CE4"/>
    <w:rsid w:val="008C4EBB"/>
    <w:rsid w:val="008C5F42"/>
    <w:rsid w:val="008C7E54"/>
    <w:rsid w:val="008D04C5"/>
    <w:rsid w:val="008D1C48"/>
    <w:rsid w:val="008D2479"/>
    <w:rsid w:val="008D2627"/>
    <w:rsid w:val="008D5DAB"/>
    <w:rsid w:val="008E1679"/>
    <w:rsid w:val="008E4A84"/>
    <w:rsid w:val="008E580B"/>
    <w:rsid w:val="008E6641"/>
    <w:rsid w:val="008F13E7"/>
    <w:rsid w:val="008F32FB"/>
    <w:rsid w:val="008F4B75"/>
    <w:rsid w:val="008F5A65"/>
    <w:rsid w:val="008F5EA2"/>
    <w:rsid w:val="00900432"/>
    <w:rsid w:val="009006CB"/>
    <w:rsid w:val="00901886"/>
    <w:rsid w:val="009044BC"/>
    <w:rsid w:val="009047F1"/>
    <w:rsid w:val="00905991"/>
    <w:rsid w:val="009063E5"/>
    <w:rsid w:val="00906EE2"/>
    <w:rsid w:val="00907A12"/>
    <w:rsid w:val="00911644"/>
    <w:rsid w:val="00912194"/>
    <w:rsid w:val="00912639"/>
    <w:rsid w:val="009126E9"/>
    <w:rsid w:val="0091280E"/>
    <w:rsid w:val="00913F1C"/>
    <w:rsid w:val="00914AD8"/>
    <w:rsid w:val="00915AC6"/>
    <w:rsid w:val="00916AEC"/>
    <w:rsid w:val="009178EE"/>
    <w:rsid w:val="00920721"/>
    <w:rsid w:val="00920B75"/>
    <w:rsid w:val="00922336"/>
    <w:rsid w:val="00926158"/>
    <w:rsid w:val="0092631C"/>
    <w:rsid w:val="00926BBD"/>
    <w:rsid w:val="00926CEC"/>
    <w:rsid w:val="009306E3"/>
    <w:rsid w:val="00931122"/>
    <w:rsid w:val="00932419"/>
    <w:rsid w:val="009347CB"/>
    <w:rsid w:val="00935FCD"/>
    <w:rsid w:val="0093629A"/>
    <w:rsid w:val="009403CF"/>
    <w:rsid w:val="009406B5"/>
    <w:rsid w:val="00941618"/>
    <w:rsid w:val="0094221C"/>
    <w:rsid w:val="0094501C"/>
    <w:rsid w:val="00946FAE"/>
    <w:rsid w:val="0094721E"/>
    <w:rsid w:val="0095045C"/>
    <w:rsid w:val="00951C9F"/>
    <w:rsid w:val="00952D8D"/>
    <w:rsid w:val="00953B65"/>
    <w:rsid w:val="00953DE2"/>
    <w:rsid w:val="00953E70"/>
    <w:rsid w:val="009561D1"/>
    <w:rsid w:val="00957280"/>
    <w:rsid w:val="00957A48"/>
    <w:rsid w:val="00960801"/>
    <w:rsid w:val="00960C92"/>
    <w:rsid w:val="00960CB0"/>
    <w:rsid w:val="00960F86"/>
    <w:rsid w:val="00961F3F"/>
    <w:rsid w:val="00962BCA"/>
    <w:rsid w:val="00964DA3"/>
    <w:rsid w:val="00967DE4"/>
    <w:rsid w:val="009710E6"/>
    <w:rsid w:val="00974364"/>
    <w:rsid w:val="009749C5"/>
    <w:rsid w:val="00976082"/>
    <w:rsid w:val="00976815"/>
    <w:rsid w:val="0098099B"/>
    <w:rsid w:val="00981B0B"/>
    <w:rsid w:val="00982976"/>
    <w:rsid w:val="009846BA"/>
    <w:rsid w:val="00986987"/>
    <w:rsid w:val="00986D62"/>
    <w:rsid w:val="00990EBB"/>
    <w:rsid w:val="009929E8"/>
    <w:rsid w:val="0099305E"/>
    <w:rsid w:val="00995F16"/>
    <w:rsid w:val="00996210"/>
    <w:rsid w:val="0099701B"/>
    <w:rsid w:val="00997FE5"/>
    <w:rsid w:val="009A0EBD"/>
    <w:rsid w:val="009A105F"/>
    <w:rsid w:val="009A21A6"/>
    <w:rsid w:val="009A2B4F"/>
    <w:rsid w:val="009A3078"/>
    <w:rsid w:val="009A447A"/>
    <w:rsid w:val="009A5947"/>
    <w:rsid w:val="009A6DCF"/>
    <w:rsid w:val="009A7778"/>
    <w:rsid w:val="009B1739"/>
    <w:rsid w:val="009B1C52"/>
    <w:rsid w:val="009B2A68"/>
    <w:rsid w:val="009B421E"/>
    <w:rsid w:val="009B4422"/>
    <w:rsid w:val="009C0794"/>
    <w:rsid w:val="009C3D88"/>
    <w:rsid w:val="009C7EF0"/>
    <w:rsid w:val="009D331D"/>
    <w:rsid w:val="009D36A2"/>
    <w:rsid w:val="009D3C5E"/>
    <w:rsid w:val="009D3F90"/>
    <w:rsid w:val="009D49E2"/>
    <w:rsid w:val="009D5283"/>
    <w:rsid w:val="009D53B5"/>
    <w:rsid w:val="009D76A6"/>
    <w:rsid w:val="009D7F6B"/>
    <w:rsid w:val="009E2EA3"/>
    <w:rsid w:val="009E3F3A"/>
    <w:rsid w:val="009E5780"/>
    <w:rsid w:val="009E6798"/>
    <w:rsid w:val="009E6C8F"/>
    <w:rsid w:val="009F00EE"/>
    <w:rsid w:val="009F44B8"/>
    <w:rsid w:val="009F4820"/>
    <w:rsid w:val="009F69DF"/>
    <w:rsid w:val="009F6D51"/>
    <w:rsid w:val="00A002BC"/>
    <w:rsid w:val="00A005CB"/>
    <w:rsid w:val="00A056D3"/>
    <w:rsid w:val="00A06E17"/>
    <w:rsid w:val="00A0703B"/>
    <w:rsid w:val="00A10A32"/>
    <w:rsid w:val="00A10F60"/>
    <w:rsid w:val="00A11F19"/>
    <w:rsid w:val="00A131D9"/>
    <w:rsid w:val="00A13774"/>
    <w:rsid w:val="00A13AC5"/>
    <w:rsid w:val="00A14A6E"/>
    <w:rsid w:val="00A163D5"/>
    <w:rsid w:val="00A1669A"/>
    <w:rsid w:val="00A17827"/>
    <w:rsid w:val="00A20D2F"/>
    <w:rsid w:val="00A22746"/>
    <w:rsid w:val="00A2409D"/>
    <w:rsid w:val="00A253D8"/>
    <w:rsid w:val="00A25805"/>
    <w:rsid w:val="00A30430"/>
    <w:rsid w:val="00A32E93"/>
    <w:rsid w:val="00A33880"/>
    <w:rsid w:val="00A351E5"/>
    <w:rsid w:val="00A4047D"/>
    <w:rsid w:val="00A404ED"/>
    <w:rsid w:val="00A44D63"/>
    <w:rsid w:val="00A46A83"/>
    <w:rsid w:val="00A476AD"/>
    <w:rsid w:val="00A50256"/>
    <w:rsid w:val="00A517D7"/>
    <w:rsid w:val="00A524AC"/>
    <w:rsid w:val="00A52B5C"/>
    <w:rsid w:val="00A5357E"/>
    <w:rsid w:val="00A5454E"/>
    <w:rsid w:val="00A547C1"/>
    <w:rsid w:val="00A55A6E"/>
    <w:rsid w:val="00A619B8"/>
    <w:rsid w:val="00A64E81"/>
    <w:rsid w:val="00A65477"/>
    <w:rsid w:val="00A65815"/>
    <w:rsid w:val="00A666B5"/>
    <w:rsid w:val="00A66BF9"/>
    <w:rsid w:val="00A67430"/>
    <w:rsid w:val="00A70ADF"/>
    <w:rsid w:val="00A70EF3"/>
    <w:rsid w:val="00A714C6"/>
    <w:rsid w:val="00A725D2"/>
    <w:rsid w:val="00A74351"/>
    <w:rsid w:val="00A76F86"/>
    <w:rsid w:val="00A80C00"/>
    <w:rsid w:val="00A8163C"/>
    <w:rsid w:val="00A81B2B"/>
    <w:rsid w:val="00A857D8"/>
    <w:rsid w:val="00A87C8B"/>
    <w:rsid w:val="00A87F49"/>
    <w:rsid w:val="00A9068E"/>
    <w:rsid w:val="00A914BA"/>
    <w:rsid w:val="00A95172"/>
    <w:rsid w:val="00A954A7"/>
    <w:rsid w:val="00A95C0D"/>
    <w:rsid w:val="00AA04CF"/>
    <w:rsid w:val="00AA0972"/>
    <w:rsid w:val="00AA1B8A"/>
    <w:rsid w:val="00AA2AF1"/>
    <w:rsid w:val="00AA2BB6"/>
    <w:rsid w:val="00AA4ED7"/>
    <w:rsid w:val="00AA6A95"/>
    <w:rsid w:val="00AA724F"/>
    <w:rsid w:val="00AA772E"/>
    <w:rsid w:val="00AB1AEF"/>
    <w:rsid w:val="00AB2141"/>
    <w:rsid w:val="00AB49E1"/>
    <w:rsid w:val="00AB4F85"/>
    <w:rsid w:val="00AB5840"/>
    <w:rsid w:val="00AB598A"/>
    <w:rsid w:val="00AB5A17"/>
    <w:rsid w:val="00AB5A3C"/>
    <w:rsid w:val="00AB63C2"/>
    <w:rsid w:val="00AB653F"/>
    <w:rsid w:val="00AC2398"/>
    <w:rsid w:val="00AC4310"/>
    <w:rsid w:val="00AC517A"/>
    <w:rsid w:val="00AC6230"/>
    <w:rsid w:val="00AC7107"/>
    <w:rsid w:val="00AC7F85"/>
    <w:rsid w:val="00AD127F"/>
    <w:rsid w:val="00AD2014"/>
    <w:rsid w:val="00AD3077"/>
    <w:rsid w:val="00AD3DF0"/>
    <w:rsid w:val="00AD51F1"/>
    <w:rsid w:val="00AE1C59"/>
    <w:rsid w:val="00AE27A4"/>
    <w:rsid w:val="00AE2C1C"/>
    <w:rsid w:val="00AE3847"/>
    <w:rsid w:val="00AE50DC"/>
    <w:rsid w:val="00AF09BF"/>
    <w:rsid w:val="00AF4AB7"/>
    <w:rsid w:val="00AF4B24"/>
    <w:rsid w:val="00AF601A"/>
    <w:rsid w:val="00B00A14"/>
    <w:rsid w:val="00B02629"/>
    <w:rsid w:val="00B03235"/>
    <w:rsid w:val="00B07E29"/>
    <w:rsid w:val="00B10285"/>
    <w:rsid w:val="00B10EFC"/>
    <w:rsid w:val="00B11D79"/>
    <w:rsid w:val="00B12712"/>
    <w:rsid w:val="00B133C5"/>
    <w:rsid w:val="00B1416A"/>
    <w:rsid w:val="00B14A3C"/>
    <w:rsid w:val="00B17CE0"/>
    <w:rsid w:val="00B20207"/>
    <w:rsid w:val="00B21288"/>
    <w:rsid w:val="00B2148A"/>
    <w:rsid w:val="00B21A0D"/>
    <w:rsid w:val="00B24BA3"/>
    <w:rsid w:val="00B253AF"/>
    <w:rsid w:val="00B25D29"/>
    <w:rsid w:val="00B265AA"/>
    <w:rsid w:val="00B26FD4"/>
    <w:rsid w:val="00B27BAB"/>
    <w:rsid w:val="00B30479"/>
    <w:rsid w:val="00B32359"/>
    <w:rsid w:val="00B33DFC"/>
    <w:rsid w:val="00B378D6"/>
    <w:rsid w:val="00B37DEA"/>
    <w:rsid w:val="00B41F06"/>
    <w:rsid w:val="00B42007"/>
    <w:rsid w:val="00B431A3"/>
    <w:rsid w:val="00B43733"/>
    <w:rsid w:val="00B447E9"/>
    <w:rsid w:val="00B45E52"/>
    <w:rsid w:val="00B46E39"/>
    <w:rsid w:val="00B51AD5"/>
    <w:rsid w:val="00B52A4B"/>
    <w:rsid w:val="00B52F84"/>
    <w:rsid w:val="00B53251"/>
    <w:rsid w:val="00B53EE9"/>
    <w:rsid w:val="00B5617B"/>
    <w:rsid w:val="00B565CB"/>
    <w:rsid w:val="00B56E7E"/>
    <w:rsid w:val="00B60C9C"/>
    <w:rsid w:val="00B6114D"/>
    <w:rsid w:val="00B61E1D"/>
    <w:rsid w:val="00B62794"/>
    <w:rsid w:val="00B63E38"/>
    <w:rsid w:val="00B64FB9"/>
    <w:rsid w:val="00B658D7"/>
    <w:rsid w:val="00B66464"/>
    <w:rsid w:val="00B6657F"/>
    <w:rsid w:val="00B6694F"/>
    <w:rsid w:val="00B66F5D"/>
    <w:rsid w:val="00B67C42"/>
    <w:rsid w:val="00B67F9E"/>
    <w:rsid w:val="00B704BC"/>
    <w:rsid w:val="00B706C7"/>
    <w:rsid w:val="00B71371"/>
    <w:rsid w:val="00B758D1"/>
    <w:rsid w:val="00B80B70"/>
    <w:rsid w:val="00B811EA"/>
    <w:rsid w:val="00B8168B"/>
    <w:rsid w:val="00B8241F"/>
    <w:rsid w:val="00B82D36"/>
    <w:rsid w:val="00B82DDF"/>
    <w:rsid w:val="00B83807"/>
    <w:rsid w:val="00B8481E"/>
    <w:rsid w:val="00B854FD"/>
    <w:rsid w:val="00B87200"/>
    <w:rsid w:val="00B87EF8"/>
    <w:rsid w:val="00B90C55"/>
    <w:rsid w:val="00B91A6E"/>
    <w:rsid w:val="00B93C34"/>
    <w:rsid w:val="00B95E86"/>
    <w:rsid w:val="00BA1DDA"/>
    <w:rsid w:val="00BA346D"/>
    <w:rsid w:val="00BA3FAE"/>
    <w:rsid w:val="00BA4A2B"/>
    <w:rsid w:val="00BA5E1B"/>
    <w:rsid w:val="00BA7D79"/>
    <w:rsid w:val="00BB08A0"/>
    <w:rsid w:val="00BB0F44"/>
    <w:rsid w:val="00BB123E"/>
    <w:rsid w:val="00BB14D4"/>
    <w:rsid w:val="00BB2363"/>
    <w:rsid w:val="00BB4B13"/>
    <w:rsid w:val="00BB5232"/>
    <w:rsid w:val="00BB5709"/>
    <w:rsid w:val="00BB6375"/>
    <w:rsid w:val="00BB7A4F"/>
    <w:rsid w:val="00BC0AF3"/>
    <w:rsid w:val="00BC0E40"/>
    <w:rsid w:val="00BC0EFB"/>
    <w:rsid w:val="00BC150A"/>
    <w:rsid w:val="00BC1FCA"/>
    <w:rsid w:val="00BC2A94"/>
    <w:rsid w:val="00BC39BE"/>
    <w:rsid w:val="00BC5AE9"/>
    <w:rsid w:val="00BC70AB"/>
    <w:rsid w:val="00BD1CE1"/>
    <w:rsid w:val="00BD278F"/>
    <w:rsid w:val="00BD3377"/>
    <w:rsid w:val="00BD5C62"/>
    <w:rsid w:val="00BD7D39"/>
    <w:rsid w:val="00BE0B75"/>
    <w:rsid w:val="00BE106D"/>
    <w:rsid w:val="00BE20B5"/>
    <w:rsid w:val="00BE2539"/>
    <w:rsid w:val="00BE47B0"/>
    <w:rsid w:val="00BE6097"/>
    <w:rsid w:val="00BE67A1"/>
    <w:rsid w:val="00BE695E"/>
    <w:rsid w:val="00BE6A71"/>
    <w:rsid w:val="00BE6D87"/>
    <w:rsid w:val="00BE7915"/>
    <w:rsid w:val="00BF14C5"/>
    <w:rsid w:val="00BF7577"/>
    <w:rsid w:val="00BF77F3"/>
    <w:rsid w:val="00BF7F4D"/>
    <w:rsid w:val="00BF7FED"/>
    <w:rsid w:val="00C00DED"/>
    <w:rsid w:val="00C01376"/>
    <w:rsid w:val="00C01427"/>
    <w:rsid w:val="00C01C12"/>
    <w:rsid w:val="00C01F96"/>
    <w:rsid w:val="00C028FE"/>
    <w:rsid w:val="00C031FC"/>
    <w:rsid w:val="00C03581"/>
    <w:rsid w:val="00C05950"/>
    <w:rsid w:val="00C1013B"/>
    <w:rsid w:val="00C1116F"/>
    <w:rsid w:val="00C12675"/>
    <w:rsid w:val="00C12788"/>
    <w:rsid w:val="00C13A5F"/>
    <w:rsid w:val="00C161AE"/>
    <w:rsid w:val="00C21B7B"/>
    <w:rsid w:val="00C2268D"/>
    <w:rsid w:val="00C245A3"/>
    <w:rsid w:val="00C247D8"/>
    <w:rsid w:val="00C25EAD"/>
    <w:rsid w:val="00C26092"/>
    <w:rsid w:val="00C269B8"/>
    <w:rsid w:val="00C26E05"/>
    <w:rsid w:val="00C30281"/>
    <w:rsid w:val="00C30956"/>
    <w:rsid w:val="00C33694"/>
    <w:rsid w:val="00C33D13"/>
    <w:rsid w:val="00C361DD"/>
    <w:rsid w:val="00C363B3"/>
    <w:rsid w:val="00C37EDD"/>
    <w:rsid w:val="00C40151"/>
    <w:rsid w:val="00C4019F"/>
    <w:rsid w:val="00C41288"/>
    <w:rsid w:val="00C44334"/>
    <w:rsid w:val="00C44853"/>
    <w:rsid w:val="00C47CC1"/>
    <w:rsid w:val="00C52542"/>
    <w:rsid w:val="00C536D8"/>
    <w:rsid w:val="00C60D69"/>
    <w:rsid w:val="00C61013"/>
    <w:rsid w:val="00C62A79"/>
    <w:rsid w:val="00C63C7E"/>
    <w:rsid w:val="00C63CF2"/>
    <w:rsid w:val="00C67428"/>
    <w:rsid w:val="00C67A08"/>
    <w:rsid w:val="00C67D04"/>
    <w:rsid w:val="00C702FA"/>
    <w:rsid w:val="00C705C0"/>
    <w:rsid w:val="00C7188C"/>
    <w:rsid w:val="00C726F3"/>
    <w:rsid w:val="00C72EB1"/>
    <w:rsid w:val="00C73706"/>
    <w:rsid w:val="00C756E1"/>
    <w:rsid w:val="00C7657B"/>
    <w:rsid w:val="00C778A8"/>
    <w:rsid w:val="00C8032A"/>
    <w:rsid w:val="00C8132A"/>
    <w:rsid w:val="00C814C3"/>
    <w:rsid w:val="00C81EF9"/>
    <w:rsid w:val="00C82525"/>
    <w:rsid w:val="00C83037"/>
    <w:rsid w:val="00C8350E"/>
    <w:rsid w:val="00C83C5F"/>
    <w:rsid w:val="00C84E97"/>
    <w:rsid w:val="00C85614"/>
    <w:rsid w:val="00C85BE0"/>
    <w:rsid w:val="00C86CAA"/>
    <w:rsid w:val="00C90793"/>
    <w:rsid w:val="00C90B58"/>
    <w:rsid w:val="00C921C3"/>
    <w:rsid w:val="00C92533"/>
    <w:rsid w:val="00C925E5"/>
    <w:rsid w:val="00C93601"/>
    <w:rsid w:val="00C93DD4"/>
    <w:rsid w:val="00C942A9"/>
    <w:rsid w:val="00C95A66"/>
    <w:rsid w:val="00C95D7A"/>
    <w:rsid w:val="00CA2502"/>
    <w:rsid w:val="00CA6FDE"/>
    <w:rsid w:val="00CA77E7"/>
    <w:rsid w:val="00CB10FD"/>
    <w:rsid w:val="00CB16AB"/>
    <w:rsid w:val="00CB287E"/>
    <w:rsid w:val="00CB3E2B"/>
    <w:rsid w:val="00CB3E8F"/>
    <w:rsid w:val="00CB41DF"/>
    <w:rsid w:val="00CB48DF"/>
    <w:rsid w:val="00CB6763"/>
    <w:rsid w:val="00CB791F"/>
    <w:rsid w:val="00CC0648"/>
    <w:rsid w:val="00CC2845"/>
    <w:rsid w:val="00CC2DDE"/>
    <w:rsid w:val="00CC4DCC"/>
    <w:rsid w:val="00CD0BA1"/>
    <w:rsid w:val="00CD0D40"/>
    <w:rsid w:val="00CD3A98"/>
    <w:rsid w:val="00CD3EE2"/>
    <w:rsid w:val="00CD598B"/>
    <w:rsid w:val="00CD5C30"/>
    <w:rsid w:val="00CD6FB2"/>
    <w:rsid w:val="00CD78F5"/>
    <w:rsid w:val="00CE00D9"/>
    <w:rsid w:val="00CE3FE1"/>
    <w:rsid w:val="00CE554F"/>
    <w:rsid w:val="00CE57EC"/>
    <w:rsid w:val="00CE587F"/>
    <w:rsid w:val="00CE6521"/>
    <w:rsid w:val="00CE67D1"/>
    <w:rsid w:val="00CE68FD"/>
    <w:rsid w:val="00CE6ACB"/>
    <w:rsid w:val="00CE78B5"/>
    <w:rsid w:val="00CE7E67"/>
    <w:rsid w:val="00CF04EF"/>
    <w:rsid w:val="00CF0A37"/>
    <w:rsid w:val="00CF156B"/>
    <w:rsid w:val="00CF290B"/>
    <w:rsid w:val="00CF6487"/>
    <w:rsid w:val="00CF65D3"/>
    <w:rsid w:val="00D00EF2"/>
    <w:rsid w:val="00D0102C"/>
    <w:rsid w:val="00D016FF"/>
    <w:rsid w:val="00D03D8A"/>
    <w:rsid w:val="00D04F33"/>
    <w:rsid w:val="00D1184D"/>
    <w:rsid w:val="00D1490B"/>
    <w:rsid w:val="00D225B3"/>
    <w:rsid w:val="00D22E8C"/>
    <w:rsid w:val="00D2360E"/>
    <w:rsid w:val="00D2547C"/>
    <w:rsid w:val="00D26800"/>
    <w:rsid w:val="00D272CC"/>
    <w:rsid w:val="00D305CD"/>
    <w:rsid w:val="00D307EE"/>
    <w:rsid w:val="00D30ED2"/>
    <w:rsid w:val="00D31097"/>
    <w:rsid w:val="00D313EA"/>
    <w:rsid w:val="00D31893"/>
    <w:rsid w:val="00D31A0C"/>
    <w:rsid w:val="00D35DEA"/>
    <w:rsid w:val="00D37C24"/>
    <w:rsid w:val="00D4268C"/>
    <w:rsid w:val="00D42B6F"/>
    <w:rsid w:val="00D42C00"/>
    <w:rsid w:val="00D44491"/>
    <w:rsid w:val="00D46128"/>
    <w:rsid w:val="00D47051"/>
    <w:rsid w:val="00D50667"/>
    <w:rsid w:val="00D507BC"/>
    <w:rsid w:val="00D508AF"/>
    <w:rsid w:val="00D51038"/>
    <w:rsid w:val="00D51590"/>
    <w:rsid w:val="00D53A2E"/>
    <w:rsid w:val="00D5577C"/>
    <w:rsid w:val="00D566C9"/>
    <w:rsid w:val="00D56E56"/>
    <w:rsid w:val="00D6363E"/>
    <w:rsid w:val="00D6424E"/>
    <w:rsid w:val="00D64889"/>
    <w:rsid w:val="00D678B3"/>
    <w:rsid w:val="00D67B7B"/>
    <w:rsid w:val="00D67D8D"/>
    <w:rsid w:val="00D73143"/>
    <w:rsid w:val="00D73DA3"/>
    <w:rsid w:val="00D75F0A"/>
    <w:rsid w:val="00D77A6F"/>
    <w:rsid w:val="00D8337F"/>
    <w:rsid w:val="00D85179"/>
    <w:rsid w:val="00D85C4B"/>
    <w:rsid w:val="00D86D75"/>
    <w:rsid w:val="00D86F52"/>
    <w:rsid w:val="00D87944"/>
    <w:rsid w:val="00D91095"/>
    <w:rsid w:val="00D921F3"/>
    <w:rsid w:val="00D92423"/>
    <w:rsid w:val="00D92E04"/>
    <w:rsid w:val="00D950E1"/>
    <w:rsid w:val="00D9672B"/>
    <w:rsid w:val="00D969B0"/>
    <w:rsid w:val="00D9706D"/>
    <w:rsid w:val="00DA0050"/>
    <w:rsid w:val="00DA1E6C"/>
    <w:rsid w:val="00DA2011"/>
    <w:rsid w:val="00DA3B8D"/>
    <w:rsid w:val="00DA3DE6"/>
    <w:rsid w:val="00DA6072"/>
    <w:rsid w:val="00DA6835"/>
    <w:rsid w:val="00DA7DFE"/>
    <w:rsid w:val="00DB0E5E"/>
    <w:rsid w:val="00DB1417"/>
    <w:rsid w:val="00DB1F66"/>
    <w:rsid w:val="00DB2E7D"/>
    <w:rsid w:val="00DB6664"/>
    <w:rsid w:val="00DB6F32"/>
    <w:rsid w:val="00DB75FA"/>
    <w:rsid w:val="00DB765D"/>
    <w:rsid w:val="00DC2701"/>
    <w:rsid w:val="00DC4465"/>
    <w:rsid w:val="00DC501C"/>
    <w:rsid w:val="00DC5546"/>
    <w:rsid w:val="00DC5EAC"/>
    <w:rsid w:val="00DD2616"/>
    <w:rsid w:val="00DD3AA8"/>
    <w:rsid w:val="00DD3EB8"/>
    <w:rsid w:val="00DD43E4"/>
    <w:rsid w:val="00DD5FA2"/>
    <w:rsid w:val="00DD617C"/>
    <w:rsid w:val="00DD7814"/>
    <w:rsid w:val="00DD7867"/>
    <w:rsid w:val="00DE1169"/>
    <w:rsid w:val="00DE25EE"/>
    <w:rsid w:val="00DE267E"/>
    <w:rsid w:val="00DE3F2A"/>
    <w:rsid w:val="00DE60AF"/>
    <w:rsid w:val="00DE6840"/>
    <w:rsid w:val="00DE6F7D"/>
    <w:rsid w:val="00DF05C1"/>
    <w:rsid w:val="00DF0AEA"/>
    <w:rsid w:val="00DF1917"/>
    <w:rsid w:val="00DF3363"/>
    <w:rsid w:val="00DF3803"/>
    <w:rsid w:val="00DF53CC"/>
    <w:rsid w:val="00DF6B81"/>
    <w:rsid w:val="00E01854"/>
    <w:rsid w:val="00E01AC8"/>
    <w:rsid w:val="00E04DB4"/>
    <w:rsid w:val="00E04F2A"/>
    <w:rsid w:val="00E05EBF"/>
    <w:rsid w:val="00E06A6A"/>
    <w:rsid w:val="00E06C1F"/>
    <w:rsid w:val="00E07535"/>
    <w:rsid w:val="00E1147C"/>
    <w:rsid w:val="00E1214B"/>
    <w:rsid w:val="00E1234F"/>
    <w:rsid w:val="00E12469"/>
    <w:rsid w:val="00E124C1"/>
    <w:rsid w:val="00E12A25"/>
    <w:rsid w:val="00E13E71"/>
    <w:rsid w:val="00E1547F"/>
    <w:rsid w:val="00E15D02"/>
    <w:rsid w:val="00E16155"/>
    <w:rsid w:val="00E2023D"/>
    <w:rsid w:val="00E26252"/>
    <w:rsid w:val="00E262C0"/>
    <w:rsid w:val="00E2632E"/>
    <w:rsid w:val="00E27E1B"/>
    <w:rsid w:val="00E30A7A"/>
    <w:rsid w:val="00E3271F"/>
    <w:rsid w:val="00E35AB0"/>
    <w:rsid w:val="00E41967"/>
    <w:rsid w:val="00E41C73"/>
    <w:rsid w:val="00E42E93"/>
    <w:rsid w:val="00E45711"/>
    <w:rsid w:val="00E475CD"/>
    <w:rsid w:val="00E50041"/>
    <w:rsid w:val="00E50660"/>
    <w:rsid w:val="00E50ED1"/>
    <w:rsid w:val="00E518D8"/>
    <w:rsid w:val="00E524F0"/>
    <w:rsid w:val="00E52CDA"/>
    <w:rsid w:val="00E53BEF"/>
    <w:rsid w:val="00E53C20"/>
    <w:rsid w:val="00E54FAE"/>
    <w:rsid w:val="00E6013E"/>
    <w:rsid w:val="00E60EFB"/>
    <w:rsid w:val="00E61293"/>
    <w:rsid w:val="00E635CD"/>
    <w:rsid w:val="00E6446B"/>
    <w:rsid w:val="00E65885"/>
    <w:rsid w:val="00E6653B"/>
    <w:rsid w:val="00E67034"/>
    <w:rsid w:val="00E67E12"/>
    <w:rsid w:val="00E71548"/>
    <w:rsid w:val="00E7301A"/>
    <w:rsid w:val="00E74E72"/>
    <w:rsid w:val="00E757C0"/>
    <w:rsid w:val="00E7603E"/>
    <w:rsid w:val="00E775AC"/>
    <w:rsid w:val="00E80716"/>
    <w:rsid w:val="00E81590"/>
    <w:rsid w:val="00E81D35"/>
    <w:rsid w:val="00E81DDC"/>
    <w:rsid w:val="00E84E25"/>
    <w:rsid w:val="00E85F03"/>
    <w:rsid w:val="00E86045"/>
    <w:rsid w:val="00E871D4"/>
    <w:rsid w:val="00E875FC"/>
    <w:rsid w:val="00E8798B"/>
    <w:rsid w:val="00E91259"/>
    <w:rsid w:val="00E92250"/>
    <w:rsid w:val="00E9402E"/>
    <w:rsid w:val="00E9732A"/>
    <w:rsid w:val="00E97F10"/>
    <w:rsid w:val="00EA2512"/>
    <w:rsid w:val="00EA2F7C"/>
    <w:rsid w:val="00EA5739"/>
    <w:rsid w:val="00EA6042"/>
    <w:rsid w:val="00EA682A"/>
    <w:rsid w:val="00EA703C"/>
    <w:rsid w:val="00EB2B52"/>
    <w:rsid w:val="00EB4E8F"/>
    <w:rsid w:val="00EB512C"/>
    <w:rsid w:val="00EB537C"/>
    <w:rsid w:val="00EB629B"/>
    <w:rsid w:val="00EB6425"/>
    <w:rsid w:val="00EB742F"/>
    <w:rsid w:val="00EC0B8E"/>
    <w:rsid w:val="00EC10AE"/>
    <w:rsid w:val="00EC1FBB"/>
    <w:rsid w:val="00EC209C"/>
    <w:rsid w:val="00EC318C"/>
    <w:rsid w:val="00EC39EC"/>
    <w:rsid w:val="00EC40A9"/>
    <w:rsid w:val="00EC4BB2"/>
    <w:rsid w:val="00EC5BBE"/>
    <w:rsid w:val="00EC6634"/>
    <w:rsid w:val="00ED0D12"/>
    <w:rsid w:val="00ED1366"/>
    <w:rsid w:val="00ED1609"/>
    <w:rsid w:val="00ED2BB9"/>
    <w:rsid w:val="00ED3E89"/>
    <w:rsid w:val="00ED487E"/>
    <w:rsid w:val="00ED4DFA"/>
    <w:rsid w:val="00ED5067"/>
    <w:rsid w:val="00ED556E"/>
    <w:rsid w:val="00ED6912"/>
    <w:rsid w:val="00ED7F50"/>
    <w:rsid w:val="00EE0472"/>
    <w:rsid w:val="00EE1D99"/>
    <w:rsid w:val="00EE30B3"/>
    <w:rsid w:val="00EE33FA"/>
    <w:rsid w:val="00EE422A"/>
    <w:rsid w:val="00EE527F"/>
    <w:rsid w:val="00EE6039"/>
    <w:rsid w:val="00EF0224"/>
    <w:rsid w:val="00EF0545"/>
    <w:rsid w:val="00EF18D9"/>
    <w:rsid w:val="00EF3F42"/>
    <w:rsid w:val="00EF420B"/>
    <w:rsid w:val="00EF483C"/>
    <w:rsid w:val="00F00FE4"/>
    <w:rsid w:val="00F017E8"/>
    <w:rsid w:val="00F023C9"/>
    <w:rsid w:val="00F029E5"/>
    <w:rsid w:val="00F02B85"/>
    <w:rsid w:val="00F04B30"/>
    <w:rsid w:val="00F05188"/>
    <w:rsid w:val="00F05443"/>
    <w:rsid w:val="00F06002"/>
    <w:rsid w:val="00F11A5C"/>
    <w:rsid w:val="00F123D7"/>
    <w:rsid w:val="00F12A15"/>
    <w:rsid w:val="00F1474B"/>
    <w:rsid w:val="00F15DD0"/>
    <w:rsid w:val="00F1723E"/>
    <w:rsid w:val="00F22CAF"/>
    <w:rsid w:val="00F23FAB"/>
    <w:rsid w:val="00F2682F"/>
    <w:rsid w:val="00F273FA"/>
    <w:rsid w:val="00F305F7"/>
    <w:rsid w:val="00F3260F"/>
    <w:rsid w:val="00F33452"/>
    <w:rsid w:val="00F34038"/>
    <w:rsid w:val="00F34595"/>
    <w:rsid w:val="00F35986"/>
    <w:rsid w:val="00F368F1"/>
    <w:rsid w:val="00F3697C"/>
    <w:rsid w:val="00F37374"/>
    <w:rsid w:val="00F40AAE"/>
    <w:rsid w:val="00F44543"/>
    <w:rsid w:val="00F4489E"/>
    <w:rsid w:val="00F44DDA"/>
    <w:rsid w:val="00F5229A"/>
    <w:rsid w:val="00F52B89"/>
    <w:rsid w:val="00F544A8"/>
    <w:rsid w:val="00F54E97"/>
    <w:rsid w:val="00F60D69"/>
    <w:rsid w:val="00F61F4D"/>
    <w:rsid w:val="00F63052"/>
    <w:rsid w:val="00F63131"/>
    <w:rsid w:val="00F63F23"/>
    <w:rsid w:val="00F64618"/>
    <w:rsid w:val="00F6744A"/>
    <w:rsid w:val="00F6768F"/>
    <w:rsid w:val="00F67EC7"/>
    <w:rsid w:val="00F72AB5"/>
    <w:rsid w:val="00F72ED2"/>
    <w:rsid w:val="00F74D5A"/>
    <w:rsid w:val="00F7564F"/>
    <w:rsid w:val="00F80285"/>
    <w:rsid w:val="00F80FDE"/>
    <w:rsid w:val="00F81D18"/>
    <w:rsid w:val="00F82BAA"/>
    <w:rsid w:val="00F850C7"/>
    <w:rsid w:val="00F85C4F"/>
    <w:rsid w:val="00F86006"/>
    <w:rsid w:val="00F872BD"/>
    <w:rsid w:val="00F8731A"/>
    <w:rsid w:val="00F90E9D"/>
    <w:rsid w:val="00F91D89"/>
    <w:rsid w:val="00F93B5B"/>
    <w:rsid w:val="00F94129"/>
    <w:rsid w:val="00F94376"/>
    <w:rsid w:val="00F957D7"/>
    <w:rsid w:val="00F95CAE"/>
    <w:rsid w:val="00F97DE6"/>
    <w:rsid w:val="00FA0077"/>
    <w:rsid w:val="00FA04C7"/>
    <w:rsid w:val="00FA13B7"/>
    <w:rsid w:val="00FA167D"/>
    <w:rsid w:val="00FA338E"/>
    <w:rsid w:val="00FA3462"/>
    <w:rsid w:val="00FA4248"/>
    <w:rsid w:val="00FA5693"/>
    <w:rsid w:val="00FA61DB"/>
    <w:rsid w:val="00FA6E04"/>
    <w:rsid w:val="00FA7392"/>
    <w:rsid w:val="00FB100B"/>
    <w:rsid w:val="00FB23E2"/>
    <w:rsid w:val="00FB45DD"/>
    <w:rsid w:val="00FB5F26"/>
    <w:rsid w:val="00FB707E"/>
    <w:rsid w:val="00FB7335"/>
    <w:rsid w:val="00FC176A"/>
    <w:rsid w:val="00FC1ECE"/>
    <w:rsid w:val="00FC469F"/>
    <w:rsid w:val="00FC503C"/>
    <w:rsid w:val="00FD02D4"/>
    <w:rsid w:val="00FD0AFD"/>
    <w:rsid w:val="00FD1196"/>
    <w:rsid w:val="00FD30EF"/>
    <w:rsid w:val="00FD4C2B"/>
    <w:rsid w:val="00FD7E65"/>
    <w:rsid w:val="00FD7ED0"/>
    <w:rsid w:val="00FE100E"/>
    <w:rsid w:val="00FE14CA"/>
    <w:rsid w:val="00FE20E8"/>
    <w:rsid w:val="00FE2548"/>
    <w:rsid w:val="00FE41B4"/>
    <w:rsid w:val="00FE44CF"/>
    <w:rsid w:val="00FE55B8"/>
    <w:rsid w:val="00FE6937"/>
    <w:rsid w:val="00FE7D30"/>
    <w:rsid w:val="00FE7E48"/>
    <w:rsid w:val="00FF0E6D"/>
    <w:rsid w:val="00FF0EA6"/>
    <w:rsid w:val="00FF1407"/>
    <w:rsid w:val="00FF2262"/>
    <w:rsid w:val="00FF355D"/>
    <w:rsid w:val="00FF3EE5"/>
    <w:rsid w:val="00FF45B3"/>
    <w:rsid w:val="00FF5471"/>
    <w:rsid w:val="00FF6078"/>
    <w:rsid w:val="00FF64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7DCF"/>
  <w15:chartTrackingRefBased/>
  <w15:docId w15:val="{96067D2D-5E37-4CF8-84B8-23A67E6D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E1B"/>
    <w:pPr>
      <w:spacing w:after="0" w:line="240" w:lineRule="auto"/>
      <w:ind w:firstLine="360"/>
    </w:pPr>
    <w:rPr>
      <w:rFonts w:ascii="Calibri" w:eastAsia="Times New Roman" w:hAnsi="Calibri" w:cs="Times New Roman"/>
      <w:lang w:bidi="en-US"/>
    </w:rPr>
  </w:style>
  <w:style w:type="paragraph" w:styleId="Heading2">
    <w:name w:val="heading 2"/>
    <w:basedOn w:val="Normal"/>
    <w:link w:val="Heading2Char"/>
    <w:uiPriority w:val="9"/>
    <w:unhideWhenUsed/>
    <w:qFormat/>
    <w:rsid w:val="009E6798"/>
    <w:pPr>
      <w:widowControl w:val="0"/>
      <w:autoSpaceDE w:val="0"/>
      <w:autoSpaceDN w:val="0"/>
      <w:ind w:left="137" w:firstLine="0"/>
      <w:outlineLvl w:val="1"/>
    </w:pPr>
    <w:rPr>
      <w:rFonts w:ascii="Arial" w:eastAsia="Arial" w:hAnsi="Arial" w:cs="Arial"/>
      <w:b/>
      <w:bCs/>
      <w:sz w:val="18"/>
      <w:szCs w:val="18"/>
      <w:lang w:bidi="ar-SA"/>
    </w:rPr>
  </w:style>
  <w:style w:type="paragraph" w:styleId="Heading3">
    <w:name w:val="heading 3"/>
    <w:basedOn w:val="Normal"/>
    <w:next w:val="Normal"/>
    <w:link w:val="Heading3Char"/>
    <w:uiPriority w:val="9"/>
    <w:unhideWhenUsed/>
    <w:qFormat/>
    <w:rsid w:val="00B62794"/>
    <w:pPr>
      <w:keepNext/>
      <w:spacing w:before="240" w:after="60" w:line="276" w:lineRule="auto"/>
      <w:ind w:firstLine="0"/>
      <w:outlineLvl w:val="2"/>
    </w:pPr>
    <w:rPr>
      <w:rFonts w:ascii="Cambria" w:hAnsi="Cambria"/>
      <w:b/>
      <w:bCs/>
      <w:sz w:val="26"/>
      <w:szCs w:val="26"/>
      <w:lang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2BB9"/>
    <w:pPr>
      <w:ind w:left="720"/>
      <w:contextualSpacing/>
    </w:pPr>
  </w:style>
  <w:style w:type="character" w:customStyle="1" w:styleId="ListParagraphChar">
    <w:name w:val="List Paragraph Char"/>
    <w:link w:val="ListParagraph"/>
    <w:uiPriority w:val="34"/>
    <w:locked/>
    <w:rsid w:val="00ED2BB9"/>
    <w:rPr>
      <w:rFonts w:ascii="Calibri" w:eastAsia="Times New Roman" w:hAnsi="Calibri" w:cs="Times New Roman"/>
      <w:lang w:val="pt-PT" w:bidi="en-US"/>
    </w:rPr>
  </w:style>
  <w:style w:type="paragraph" w:styleId="Header">
    <w:name w:val="header"/>
    <w:basedOn w:val="Normal"/>
    <w:link w:val="HeaderChar"/>
    <w:uiPriority w:val="99"/>
    <w:unhideWhenUsed/>
    <w:rsid w:val="00B20207"/>
    <w:pPr>
      <w:tabs>
        <w:tab w:val="center" w:pos="4513"/>
        <w:tab w:val="right" w:pos="9026"/>
      </w:tabs>
    </w:pPr>
  </w:style>
  <w:style w:type="character" w:customStyle="1" w:styleId="HeaderChar">
    <w:name w:val="Header Char"/>
    <w:basedOn w:val="DefaultParagraphFont"/>
    <w:link w:val="Header"/>
    <w:uiPriority w:val="99"/>
    <w:rsid w:val="00B20207"/>
    <w:rPr>
      <w:rFonts w:ascii="Calibri" w:eastAsia="Times New Roman" w:hAnsi="Calibri" w:cs="Times New Roman"/>
      <w:lang w:val="pt-PT" w:bidi="en-US"/>
    </w:rPr>
  </w:style>
  <w:style w:type="paragraph" w:styleId="Footer">
    <w:name w:val="footer"/>
    <w:basedOn w:val="Normal"/>
    <w:link w:val="FooterChar"/>
    <w:uiPriority w:val="99"/>
    <w:unhideWhenUsed/>
    <w:rsid w:val="00B20207"/>
    <w:pPr>
      <w:tabs>
        <w:tab w:val="center" w:pos="4513"/>
        <w:tab w:val="right" w:pos="9026"/>
      </w:tabs>
    </w:pPr>
  </w:style>
  <w:style w:type="character" w:customStyle="1" w:styleId="FooterChar">
    <w:name w:val="Footer Char"/>
    <w:basedOn w:val="DefaultParagraphFont"/>
    <w:link w:val="Footer"/>
    <w:uiPriority w:val="99"/>
    <w:rsid w:val="00B20207"/>
    <w:rPr>
      <w:rFonts w:ascii="Calibri" w:eastAsia="Times New Roman" w:hAnsi="Calibri" w:cs="Times New Roman"/>
      <w:lang w:val="pt-PT" w:bidi="en-US"/>
    </w:rPr>
  </w:style>
  <w:style w:type="paragraph" w:styleId="NormalWeb">
    <w:name w:val="Normal (Web)"/>
    <w:basedOn w:val="Normal"/>
    <w:uiPriority w:val="99"/>
    <w:unhideWhenUsed/>
    <w:rsid w:val="007A6D9C"/>
    <w:pPr>
      <w:spacing w:before="100" w:beforeAutospacing="1" w:after="100" w:afterAutospacing="1"/>
      <w:ind w:firstLine="0"/>
    </w:pPr>
    <w:rPr>
      <w:rFonts w:ascii="Times New Roman" w:hAnsi="Times New Roman"/>
      <w:sz w:val="24"/>
      <w:szCs w:val="24"/>
      <w:lang w:eastAsia="en-ZA" w:bidi="ar-SA"/>
    </w:rPr>
  </w:style>
  <w:style w:type="paragraph" w:styleId="NoSpacing">
    <w:name w:val="No Spacing"/>
    <w:uiPriority w:val="1"/>
    <w:qFormat/>
    <w:rsid w:val="004A5FAD"/>
    <w:pPr>
      <w:spacing w:after="0" w:line="240" w:lineRule="auto"/>
      <w:ind w:firstLine="360"/>
    </w:pPr>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4B7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E99"/>
    <w:rPr>
      <w:rFonts w:ascii="Segoe UI" w:eastAsia="Times New Roman" w:hAnsi="Segoe UI" w:cs="Segoe UI"/>
      <w:sz w:val="18"/>
      <w:szCs w:val="18"/>
      <w:lang w:val="pt-PT" w:bidi="en-US"/>
    </w:rPr>
  </w:style>
  <w:style w:type="table" w:styleId="TableGrid">
    <w:name w:val="Table Grid"/>
    <w:basedOn w:val="TableNormal"/>
    <w:uiPriority w:val="59"/>
    <w:rsid w:val="0066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E5097"/>
    <w:rPr>
      <w:rFonts w:ascii="BookmanOldStyle-Bold" w:hAnsi="BookmanOldStyle-Bold" w:hint="default"/>
      <w:b/>
      <w:bCs/>
      <w:i w:val="0"/>
      <w:iCs w:val="0"/>
      <w:color w:val="000000"/>
      <w:sz w:val="28"/>
      <w:szCs w:val="28"/>
    </w:rPr>
  </w:style>
  <w:style w:type="character" w:customStyle="1" w:styleId="fontstyle21">
    <w:name w:val="fontstyle21"/>
    <w:basedOn w:val="DefaultParagraphFont"/>
    <w:rsid w:val="003E5097"/>
    <w:rPr>
      <w:rFonts w:ascii="BookmanOldStyle" w:hAnsi="BookmanOldStyle" w:hint="default"/>
      <w:b w:val="0"/>
      <w:bCs w:val="0"/>
      <w:i w:val="0"/>
      <w:iCs w:val="0"/>
      <w:color w:val="000000"/>
      <w:sz w:val="24"/>
      <w:szCs w:val="24"/>
    </w:rPr>
  </w:style>
  <w:style w:type="paragraph" w:styleId="BodyText">
    <w:name w:val="Body Text"/>
    <w:basedOn w:val="Normal"/>
    <w:link w:val="BodyTextChar"/>
    <w:uiPriority w:val="1"/>
    <w:qFormat/>
    <w:rsid w:val="003D02B5"/>
    <w:pPr>
      <w:widowControl w:val="0"/>
      <w:autoSpaceDE w:val="0"/>
      <w:autoSpaceDN w:val="0"/>
      <w:ind w:firstLine="0"/>
    </w:pPr>
    <w:rPr>
      <w:rFonts w:ascii="Arial" w:eastAsia="Arial" w:hAnsi="Arial" w:cs="Arial"/>
      <w:sz w:val="18"/>
      <w:szCs w:val="18"/>
      <w:lang w:bidi="ar-SA"/>
    </w:rPr>
  </w:style>
  <w:style w:type="character" w:customStyle="1" w:styleId="BodyTextChar">
    <w:name w:val="Body Text Char"/>
    <w:basedOn w:val="DefaultParagraphFont"/>
    <w:link w:val="BodyText"/>
    <w:uiPriority w:val="1"/>
    <w:rsid w:val="003D02B5"/>
    <w:rPr>
      <w:rFonts w:ascii="Arial" w:eastAsia="Arial" w:hAnsi="Arial" w:cs="Arial"/>
      <w:sz w:val="18"/>
      <w:szCs w:val="18"/>
      <w:lang w:val="pt-PT"/>
    </w:rPr>
  </w:style>
  <w:style w:type="character" w:customStyle="1" w:styleId="Heading2Char">
    <w:name w:val="Heading 2 Char"/>
    <w:basedOn w:val="DefaultParagraphFont"/>
    <w:link w:val="Heading2"/>
    <w:uiPriority w:val="9"/>
    <w:rsid w:val="009E6798"/>
    <w:rPr>
      <w:rFonts w:ascii="Arial" w:eastAsia="Arial" w:hAnsi="Arial" w:cs="Arial"/>
      <w:b/>
      <w:bCs/>
      <w:sz w:val="18"/>
      <w:szCs w:val="18"/>
      <w:lang w:val="pt-PT"/>
    </w:rPr>
  </w:style>
  <w:style w:type="paragraph" w:customStyle="1" w:styleId="TableParagraph">
    <w:name w:val="Table Paragraph"/>
    <w:basedOn w:val="Normal"/>
    <w:uiPriority w:val="1"/>
    <w:qFormat/>
    <w:rsid w:val="00801ED3"/>
    <w:pPr>
      <w:widowControl w:val="0"/>
      <w:autoSpaceDE w:val="0"/>
      <w:autoSpaceDN w:val="0"/>
      <w:ind w:firstLine="0"/>
    </w:pPr>
    <w:rPr>
      <w:rFonts w:ascii="Arial" w:eastAsia="Arial" w:hAnsi="Arial" w:cs="Arial"/>
      <w:lang w:bidi="ar-SA"/>
    </w:rPr>
  </w:style>
  <w:style w:type="character" w:styleId="CommentReference">
    <w:name w:val="annotation reference"/>
    <w:basedOn w:val="DefaultParagraphFont"/>
    <w:uiPriority w:val="99"/>
    <w:semiHidden/>
    <w:unhideWhenUsed/>
    <w:rsid w:val="00836A23"/>
    <w:rPr>
      <w:sz w:val="16"/>
      <w:szCs w:val="16"/>
    </w:rPr>
  </w:style>
  <w:style w:type="paragraph" w:styleId="CommentText">
    <w:name w:val="annotation text"/>
    <w:basedOn w:val="Normal"/>
    <w:link w:val="CommentTextChar"/>
    <w:uiPriority w:val="99"/>
    <w:semiHidden/>
    <w:unhideWhenUsed/>
    <w:rsid w:val="00836A23"/>
    <w:rPr>
      <w:sz w:val="20"/>
      <w:szCs w:val="20"/>
    </w:rPr>
  </w:style>
  <w:style w:type="character" w:customStyle="1" w:styleId="CommentTextChar">
    <w:name w:val="Comment Text Char"/>
    <w:basedOn w:val="DefaultParagraphFont"/>
    <w:link w:val="CommentText"/>
    <w:uiPriority w:val="99"/>
    <w:semiHidden/>
    <w:rsid w:val="00836A23"/>
    <w:rPr>
      <w:rFonts w:ascii="Calibri" w:eastAsia="Times New Roman" w:hAnsi="Calibri" w:cs="Times New Roman"/>
      <w:sz w:val="20"/>
      <w:szCs w:val="20"/>
      <w:lang w:val="pt-PT" w:bidi="en-US"/>
    </w:rPr>
  </w:style>
  <w:style w:type="paragraph" w:styleId="CommentSubject">
    <w:name w:val="annotation subject"/>
    <w:basedOn w:val="CommentText"/>
    <w:next w:val="CommentText"/>
    <w:link w:val="CommentSubjectChar"/>
    <w:uiPriority w:val="99"/>
    <w:semiHidden/>
    <w:unhideWhenUsed/>
    <w:rsid w:val="00836A23"/>
    <w:rPr>
      <w:b/>
      <w:bCs/>
    </w:rPr>
  </w:style>
  <w:style w:type="character" w:customStyle="1" w:styleId="CommentSubjectChar">
    <w:name w:val="Comment Subject Char"/>
    <w:basedOn w:val="CommentTextChar"/>
    <w:link w:val="CommentSubject"/>
    <w:uiPriority w:val="99"/>
    <w:semiHidden/>
    <w:rsid w:val="00836A23"/>
    <w:rPr>
      <w:rFonts w:ascii="Calibri" w:eastAsia="Times New Roman" w:hAnsi="Calibri" w:cs="Times New Roman"/>
      <w:b/>
      <w:bCs/>
      <w:sz w:val="20"/>
      <w:szCs w:val="20"/>
      <w:lang w:val="pt-PT" w:bidi="en-US"/>
    </w:rPr>
  </w:style>
  <w:style w:type="paragraph" w:customStyle="1" w:styleId="xmsonormal">
    <w:name w:val="x_msonormal"/>
    <w:basedOn w:val="Normal"/>
    <w:rsid w:val="00810C6B"/>
    <w:pPr>
      <w:spacing w:before="100" w:beforeAutospacing="1" w:after="100" w:afterAutospacing="1"/>
      <w:ind w:firstLine="0"/>
    </w:pPr>
    <w:rPr>
      <w:rFonts w:ascii="Times New Roman" w:hAnsi="Times New Roman"/>
      <w:sz w:val="24"/>
      <w:szCs w:val="24"/>
      <w:lang w:bidi="ar-SA"/>
    </w:rPr>
  </w:style>
  <w:style w:type="character" w:customStyle="1" w:styleId="Heading3Char">
    <w:name w:val="Heading 3 Char"/>
    <w:basedOn w:val="DefaultParagraphFont"/>
    <w:link w:val="Heading3"/>
    <w:uiPriority w:val="9"/>
    <w:rsid w:val="00B62794"/>
    <w:rPr>
      <w:rFonts w:ascii="Cambria" w:eastAsia="Times New Roman" w:hAnsi="Cambria" w:cs="Times New Roman"/>
      <w:b/>
      <w:bCs/>
      <w:sz w:val="26"/>
      <w:szCs w:val="26"/>
      <w:lang w:val="pt-PT" w:eastAsia="x-none"/>
    </w:rPr>
  </w:style>
  <w:style w:type="paragraph" w:customStyle="1" w:styleId="xmsolistparagraph">
    <w:name w:val="x_msolistparagraph"/>
    <w:basedOn w:val="Normal"/>
    <w:rsid w:val="00F94129"/>
    <w:pPr>
      <w:spacing w:before="100" w:beforeAutospacing="1" w:after="100" w:afterAutospacing="1"/>
      <w:ind w:firstLine="0"/>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8176">
      <w:bodyDiv w:val="1"/>
      <w:marLeft w:val="0"/>
      <w:marRight w:val="0"/>
      <w:marTop w:val="0"/>
      <w:marBottom w:val="0"/>
      <w:divBdr>
        <w:top w:val="none" w:sz="0" w:space="0" w:color="auto"/>
        <w:left w:val="none" w:sz="0" w:space="0" w:color="auto"/>
        <w:bottom w:val="none" w:sz="0" w:space="0" w:color="auto"/>
        <w:right w:val="none" w:sz="0" w:space="0" w:color="auto"/>
      </w:divBdr>
    </w:div>
    <w:div w:id="31729557">
      <w:bodyDiv w:val="1"/>
      <w:marLeft w:val="0"/>
      <w:marRight w:val="0"/>
      <w:marTop w:val="0"/>
      <w:marBottom w:val="0"/>
      <w:divBdr>
        <w:top w:val="none" w:sz="0" w:space="0" w:color="auto"/>
        <w:left w:val="none" w:sz="0" w:space="0" w:color="auto"/>
        <w:bottom w:val="none" w:sz="0" w:space="0" w:color="auto"/>
        <w:right w:val="none" w:sz="0" w:space="0" w:color="auto"/>
      </w:divBdr>
    </w:div>
    <w:div w:id="164173461">
      <w:bodyDiv w:val="1"/>
      <w:marLeft w:val="0"/>
      <w:marRight w:val="0"/>
      <w:marTop w:val="0"/>
      <w:marBottom w:val="0"/>
      <w:divBdr>
        <w:top w:val="none" w:sz="0" w:space="0" w:color="auto"/>
        <w:left w:val="none" w:sz="0" w:space="0" w:color="auto"/>
        <w:bottom w:val="none" w:sz="0" w:space="0" w:color="auto"/>
        <w:right w:val="none" w:sz="0" w:space="0" w:color="auto"/>
      </w:divBdr>
    </w:div>
    <w:div w:id="250048010">
      <w:bodyDiv w:val="1"/>
      <w:marLeft w:val="0"/>
      <w:marRight w:val="0"/>
      <w:marTop w:val="0"/>
      <w:marBottom w:val="0"/>
      <w:divBdr>
        <w:top w:val="none" w:sz="0" w:space="0" w:color="auto"/>
        <w:left w:val="none" w:sz="0" w:space="0" w:color="auto"/>
        <w:bottom w:val="none" w:sz="0" w:space="0" w:color="auto"/>
        <w:right w:val="none" w:sz="0" w:space="0" w:color="auto"/>
      </w:divBdr>
    </w:div>
    <w:div w:id="295571441">
      <w:bodyDiv w:val="1"/>
      <w:marLeft w:val="0"/>
      <w:marRight w:val="0"/>
      <w:marTop w:val="0"/>
      <w:marBottom w:val="0"/>
      <w:divBdr>
        <w:top w:val="none" w:sz="0" w:space="0" w:color="auto"/>
        <w:left w:val="none" w:sz="0" w:space="0" w:color="auto"/>
        <w:bottom w:val="none" w:sz="0" w:space="0" w:color="auto"/>
        <w:right w:val="none" w:sz="0" w:space="0" w:color="auto"/>
      </w:divBdr>
    </w:div>
    <w:div w:id="409431101">
      <w:bodyDiv w:val="1"/>
      <w:marLeft w:val="0"/>
      <w:marRight w:val="0"/>
      <w:marTop w:val="0"/>
      <w:marBottom w:val="0"/>
      <w:divBdr>
        <w:top w:val="none" w:sz="0" w:space="0" w:color="auto"/>
        <w:left w:val="none" w:sz="0" w:space="0" w:color="auto"/>
        <w:bottom w:val="none" w:sz="0" w:space="0" w:color="auto"/>
        <w:right w:val="none" w:sz="0" w:space="0" w:color="auto"/>
      </w:divBdr>
    </w:div>
    <w:div w:id="632322136">
      <w:bodyDiv w:val="1"/>
      <w:marLeft w:val="0"/>
      <w:marRight w:val="0"/>
      <w:marTop w:val="0"/>
      <w:marBottom w:val="0"/>
      <w:divBdr>
        <w:top w:val="none" w:sz="0" w:space="0" w:color="auto"/>
        <w:left w:val="none" w:sz="0" w:space="0" w:color="auto"/>
        <w:bottom w:val="none" w:sz="0" w:space="0" w:color="auto"/>
        <w:right w:val="none" w:sz="0" w:space="0" w:color="auto"/>
      </w:divBdr>
    </w:div>
    <w:div w:id="642663633">
      <w:bodyDiv w:val="1"/>
      <w:marLeft w:val="0"/>
      <w:marRight w:val="0"/>
      <w:marTop w:val="0"/>
      <w:marBottom w:val="0"/>
      <w:divBdr>
        <w:top w:val="none" w:sz="0" w:space="0" w:color="auto"/>
        <w:left w:val="none" w:sz="0" w:space="0" w:color="auto"/>
        <w:bottom w:val="none" w:sz="0" w:space="0" w:color="auto"/>
        <w:right w:val="none" w:sz="0" w:space="0" w:color="auto"/>
      </w:divBdr>
    </w:div>
    <w:div w:id="730886871">
      <w:bodyDiv w:val="1"/>
      <w:marLeft w:val="0"/>
      <w:marRight w:val="0"/>
      <w:marTop w:val="0"/>
      <w:marBottom w:val="0"/>
      <w:divBdr>
        <w:top w:val="none" w:sz="0" w:space="0" w:color="auto"/>
        <w:left w:val="none" w:sz="0" w:space="0" w:color="auto"/>
        <w:bottom w:val="none" w:sz="0" w:space="0" w:color="auto"/>
        <w:right w:val="none" w:sz="0" w:space="0" w:color="auto"/>
      </w:divBdr>
    </w:div>
    <w:div w:id="765614232">
      <w:bodyDiv w:val="1"/>
      <w:marLeft w:val="0"/>
      <w:marRight w:val="0"/>
      <w:marTop w:val="0"/>
      <w:marBottom w:val="0"/>
      <w:divBdr>
        <w:top w:val="none" w:sz="0" w:space="0" w:color="auto"/>
        <w:left w:val="none" w:sz="0" w:space="0" w:color="auto"/>
        <w:bottom w:val="none" w:sz="0" w:space="0" w:color="auto"/>
        <w:right w:val="none" w:sz="0" w:space="0" w:color="auto"/>
      </w:divBdr>
    </w:div>
    <w:div w:id="774637566">
      <w:bodyDiv w:val="1"/>
      <w:marLeft w:val="0"/>
      <w:marRight w:val="0"/>
      <w:marTop w:val="0"/>
      <w:marBottom w:val="0"/>
      <w:divBdr>
        <w:top w:val="none" w:sz="0" w:space="0" w:color="auto"/>
        <w:left w:val="none" w:sz="0" w:space="0" w:color="auto"/>
        <w:bottom w:val="none" w:sz="0" w:space="0" w:color="auto"/>
        <w:right w:val="none" w:sz="0" w:space="0" w:color="auto"/>
      </w:divBdr>
    </w:div>
    <w:div w:id="799805999">
      <w:bodyDiv w:val="1"/>
      <w:marLeft w:val="0"/>
      <w:marRight w:val="0"/>
      <w:marTop w:val="0"/>
      <w:marBottom w:val="0"/>
      <w:divBdr>
        <w:top w:val="none" w:sz="0" w:space="0" w:color="auto"/>
        <w:left w:val="none" w:sz="0" w:space="0" w:color="auto"/>
        <w:bottom w:val="none" w:sz="0" w:space="0" w:color="auto"/>
        <w:right w:val="none" w:sz="0" w:space="0" w:color="auto"/>
      </w:divBdr>
    </w:div>
    <w:div w:id="910576471">
      <w:bodyDiv w:val="1"/>
      <w:marLeft w:val="0"/>
      <w:marRight w:val="0"/>
      <w:marTop w:val="0"/>
      <w:marBottom w:val="0"/>
      <w:divBdr>
        <w:top w:val="none" w:sz="0" w:space="0" w:color="auto"/>
        <w:left w:val="none" w:sz="0" w:space="0" w:color="auto"/>
        <w:bottom w:val="none" w:sz="0" w:space="0" w:color="auto"/>
        <w:right w:val="none" w:sz="0" w:space="0" w:color="auto"/>
      </w:divBdr>
    </w:div>
    <w:div w:id="930968615">
      <w:bodyDiv w:val="1"/>
      <w:marLeft w:val="0"/>
      <w:marRight w:val="0"/>
      <w:marTop w:val="0"/>
      <w:marBottom w:val="0"/>
      <w:divBdr>
        <w:top w:val="none" w:sz="0" w:space="0" w:color="auto"/>
        <w:left w:val="none" w:sz="0" w:space="0" w:color="auto"/>
        <w:bottom w:val="none" w:sz="0" w:space="0" w:color="auto"/>
        <w:right w:val="none" w:sz="0" w:space="0" w:color="auto"/>
      </w:divBdr>
    </w:div>
    <w:div w:id="1018771275">
      <w:bodyDiv w:val="1"/>
      <w:marLeft w:val="0"/>
      <w:marRight w:val="0"/>
      <w:marTop w:val="0"/>
      <w:marBottom w:val="0"/>
      <w:divBdr>
        <w:top w:val="none" w:sz="0" w:space="0" w:color="auto"/>
        <w:left w:val="none" w:sz="0" w:space="0" w:color="auto"/>
        <w:bottom w:val="none" w:sz="0" w:space="0" w:color="auto"/>
        <w:right w:val="none" w:sz="0" w:space="0" w:color="auto"/>
      </w:divBdr>
    </w:div>
    <w:div w:id="1102798431">
      <w:bodyDiv w:val="1"/>
      <w:marLeft w:val="0"/>
      <w:marRight w:val="0"/>
      <w:marTop w:val="0"/>
      <w:marBottom w:val="0"/>
      <w:divBdr>
        <w:top w:val="none" w:sz="0" w:space="0" w:color="auto"/>
        <w:left w:val="none" w:sz="0" w:space="0" w:color="auto"/>
        <w:bottom w:val="none" w:sz="0" w:space="0" w:color="auto"/>
        <w:right w:val="none" w:sz="0" w:space="0" w:color="auto"/>
      </w:divBdr>
    </w:div>
    <w:div w:id="1182933903">
      <w:bodyDiv w:val="1"/>
      <w:marLeft w:val="0"/>
      <w:marRight w:val="0"/>
      <w:marTop w:val="0"/>
      <w:marBottom w:val="0"/>
      <w:divBdr>
        <w:top w:val="none" w:sz="0" w:space="0" w:color="auto"/>
        <w:left w:val="none" w:sz="0" w:space="0" w:color="auto"/>
        <w:bottom w:val="none" w:sz="0" w:space="0" w:color="auto"/>
        <w:right w:val="none" w:sz="0" w:space="0" w:color="auto"/>
      </w:divBdr>
    </w:div>
    <w:div w:id="1252592732">
      <w:bodyDiv w:val="1"/>
      <w:marLeft w:val="0"/>
      <w:marRight w:val="0"/>
      <w:marTop w:val="0"/>
      <w:marBottom w:val="0"/>
      <w:divBdr>
        <w:top w:val="none" w:sz="0" w:space="0" w:color="auto"/>
        <w:left w:val="none" w:sz="0" w:space="0" w:color="auto"/>
        <w:bottom w:val="none" w:sz="0" w:space="0" w:color="auto"/>
        <w:right w:val="none" w:sz="0" w:space="0" w:color="auto"/>
      </w:divBdr>
    </w:div>
    <w:div w:id="1487284735">
      <w:bodyDiv w:val="1"/>
      <w:marLeft w:val="0"/>
      <w:marRight w:val="0"/>
      <w:marTop w:val="0"/>
      <w:marBottom w:val="0"/>
      <w:divBdr>
        <w:top w:val="none" w:sz="0" w:space="0" w:color="auto"/>
        <w:left w:val="none" w:sz="0" w:space="0" w:color="auto"/>
        <w:bottom w:val="none" w:sz="0" w:space="0" w:color="auto"/>
        <w:right w:val="none" w:sz="0" w:space="0" w:color="auto"/>
      </w:divBdr>
    </w:div>
    <w:div w:id="1602374290">
      <w:bodyDiv w:val="1"/>
      <w:marLeft w:val="0"/>
      <w:marRight w:val="0"/>
      <w:marTop w:val="0"/>
      <w:marBottom w:val="0"/>
      <w:divBdr>
        <w:top w:val="none" w:sz="0" w:space="0" w:color="auto"/>
        <w:left w:val="none" w:sz="0" w:space="0" w:color="auto"/>
        <w:bottom w:val="none" w:sz="0" w:space="0" w:color="auto"/>
        <w:right w:val="none" w:sz="0" w:space="0" w:color="auto"/>
      </w:divBdr>
    </w:div>
    <w:div w:id="1712724685">
      <w:bodyDiv w:val="1"/>
      <w:marLeft w:val="0"/>
      <w:marRight w:val="0"/>
      <w:marTop w:val="0"/>
      <w:marBottom w:val="0"/>
      <w:divBdr>
        <w:top w:val="none" w:sz="0" w:space="0" w:color="auto"/>
        <w:left w:val="none" w:sz="0" w:space="0" w:color="auto"/>
        <w:bottom w:val="none" w:sz="0" w:space="0" w:color="auto"/>
        <w:right w:val="none" w:sz="0" w:space="0" w:color="auto"/>
      </w:divBdr>
    </w:div>
    <w:div w:id="1719813589">
      <w:bodyDiv w:val="1"/>
      <w:marLeft w:val="0"/>
      <w:marRight w:val="0"/>
      <w:marTop w:val="0"/>
      <w:marBottom w:val="0"/>
      <w:divBdr>
        <w:top w:val="none" w:sz="0" w:space="0" w:color="auto"/>
        <w:left w:val="none" w:sz="0" w:space="0" w:color="auto"/>
        <w:bottom w:val="none" w:sz="0" w:space="0" w:color="auto"/>
        <w:right w:val="none" w:sz="0" w:space="0" w:color="auto"/>
      </w:divBdr>
    </w:div>
    <w:div w:id="1779644769">
      <w:bodyDiv w:val="1"/>
      <w:marLeft w:val="0"/>
      <w:marRight w:val="0"/>
      <w:marTop w:val="0"/>
      <w:marBottom w:val="0"/>
      <w:divBdr>
        <w:top w:val="none" w:sz="0" w:space="0" w:color="auto"/>
        <w:left w:val="none" w:sz="0" w:space="0" w:color="auto"/>
        <w:bottom w:val="none" w:sz="0" w:space="0" w:color="auto"/>
        <w:right w:val="none" w:sz="0" w:space="0" w:color="auto"/>
      </w:divBdr>
    </w:div>
    <w:div w:id="1794323825">
      <w:bodyDiv w:val="1"/>
      <w:marLeft w:val="0"/>
      <w:marRight w:val="0"/>
      <w:marTop w:val="0"/>
      <w:marBottom w:val="0"/>
      <w:divBdr>
        <w:top w:val="none" w:sz="0" w:space="0" w:color="auto"/>
        <w:left w:val="none" w:sz="0" w:space="0" w:color="auto"/>
        <w:bottom w:val="none" w:sz="0" w:space="0" w:color="auto"/>
        <w:right w:val="none" w:sz="0" w:space="0" w:color="auto"/>
      </w:divBdr>
    </w:div>
    <w:div w:id="1797212814">
      <w:bodyDiv w:val="1"/>
      <w:marLeft w:val="0"/>
      <w:marRight w:val="0"/>
      <w:marTop w:val="0"/>
      <w:marBottom w:val="0"/>
      <w:divBdr>
        <w:top w:val="none" w:sz="0" w:space="0" w:color="auto"/>
        <w:left w:val="none" w:sz="0" w:space="0" w:color="auto"/>
        <w:bottom w:val="none" w:sz="0" w:space="0" w:color="auto"/>
        <w:right w:val="none" w:sz="0" w:space="0" w:color="auto"/>
      </w:divBdr>
    </w:div>
    <w:div w:id="1819420406">
      <w:bodyDiv w:val="1"/>
      <w:marLeft w:val="0"/>
      <w:marRight w:val="0"/>
      <w:marTop w:val="0"/>
      <w:marBottom w:val="0"/>
      <w:divBdr>
        <w:top w:val="none" w:sz="0" w:space="0" w:color="auto"/>
        <w:left w:val="none" w:sz="0" w:space="0" w:color="auto"/>
        <w:bottom w:val="none" w:sz="0" w:space="0" w:color="auto"/>
        <w:right w:val="none" w:sz="0" w:space="0" w:color="auto"/>
      </w:divBdr>
    </w:div>
    <w:div w:id="198241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9382D7F2091F41869BA1BC4B322E13" ma:contentTypeVersion="16" ma:contentTypeDescription="Create a new document." ma:contentTypeScope="" ma:versionID="c288b7d39a1592d7ef49000b00816adf">
  <xsd:schema xmlns:xsd="http://www.w3.org/2001/XMLSchema" xmlns:xs="http://www.w3.org/2001/XMLSchema" xmlns:p="http://schemas.microsoft.com/office/2006/metadata/properties" xmlns:ns2="fb3755fa-05ff-4bdd-9bce-8933e8d8d891" xmlns:ns3="00fd4468-20d9-4049-b422-da74cf9fb12e" targetNamespace="http://schemas.microsoft.com/office/2006/metadata/properties" ma:root="true" ma:fieldsID="66b7ff5c981286534f82c610b5c810cb" ns2:_="" ns3:_="">
    <xsd:import namespace="fb3755fa-05ff-4bdd-9bce-8933e8d8d891"/>
    <xsd:import namespace="00fd4468-20d9-4049-b422-da74cf9fb1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755fa-05ff-4bdd-9bce-8933e8d8d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055090-a6ba-48d2-afb2-6210824f9d9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fd4468-20d9-4049-b422-da74cf9fb12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778354-669d-4f34-aeaa-c63f617c9d7a}" ma:internalName="TaxCatchAll" ma:showField="CatchAllData" ma:web="00fd4468-20d9-4049-b422-da74cf9fb1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5FBA7-A462-4FD5-A852-112E99F5B968}">
  <ds:schemaRefs>
    <ds:schemaRef ds:uri="http://schemas.microsoft.com/sharepoint/v3/contenttype/forms"/>
  </ds:schemaRefs>
</ds:datastoreItem>
</file>

<file path=customXml/itemProps2.xml><?xml version="1.0" encoding="utf-8"?>
<ds:datastoreItem xmlns:ds="http://schemas.openxmlformats.org/officeDocument/2006/customXml" ds:itemID="{92F2D485-5B05-4A15-9D99-A864DEE3B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755fa-05ff-4bdd-9bce-8933e8d8d891"/>
    <ds:schemaRef ds:uri="00fd4468-20d9-4049-b422-da74cf9f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Yapoka Mungandi</dc:creator>
  <cp:keywords/>
  <dc:description/>
  <cp:lastModifiedBy>Agnes Lilungwe</cp:lastModifiedBy>
  <cp:revision>6</cp:revision>
  <cp:lastPrinted>2022-10-14T05:27:00Z</cp:lastPrinted>
  <dcterms:created xsi:type="dcterms:W3CDTF">2022-11-24T12:05:00Z</dcterms:created>
  <dcterms:modified xsi:type="dcterms:W3CDTF">2022-11-25T13:21:00Z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7f35abb4f1f612f137891e4a0e4e62561befcdf9e98a42e0695479d751c8f9d5</vt:lpwstr>
  </property>
</Properties>
</file>